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6E" w:rsidRPr="00C4366E" w:rsidRDefault="00C4366E" w:rsidP="00C4366E">
      <w:pPr>
        <w:spacing w:before="0" w:beforeAutospacing="0"/>
        <w:rPr>
          <w:rFonts w:ascii="Times New Roman" w:eastAsia="Times New Roman" w:hAnsi="Times New Roman" w:cs="Times New Roman"/>
          <w:sz w:val="24"/>
          <w:szCs w:val="24"/>
          <w:lang w:eastAsia="it-IT"/>
        </w:rPr>
      </w:pPr>
      <w:r w:rsidRPr="00C4366E">
        <w:rPr>
          <w:rFonts w:ascii="Times New Roman" w:eastAsia="Times New Roman" w:hAnsi="Times New Roman" w:cs="Times New Roman"/>
          <w:color w:val="000000"/>
          <w:sz w:val="27"/>
          <w:szCs w:val="27"/>
          <w:lang w:eastAsia="it-IT"/>
        </w:rPr>
        <w:t>Pubblicato il 18/10/2021</w:t>
      </w:r>
    </w:p>
    <w:p w:rsidR="00C4366E" w:rsidRPr="00C4366E" w:rsidRDefault="00C4366E" w:rsidP="00C4366E">
      <w:pPr>
        <w:spacing w:after="100" w:afterAutospacing="1" w:line="0" w:lineRule="atLeast"/>
        <w:jc w:val="right"/>
        <w:rPr>
          <w:rFonts w:ascii="Times Nordic" w:eastAsia="Times New Roman" w:hAnsi="Times Nordic" w:cs="Times New Roman"/>
          <w:b/>
          <w:bCs/>
          <w:color w:val="000000"/>
          <w:lang w:eastAsia="it-IT"/>
        </w:rPr>
      </w:pPr>
      <w:r w:rsidRPr="00C4366E">
        <w:rPr>
          <w:rFonts w:ascii="Times Nordic" w:eastAsia="Times New Roman" w:hAnsi="Times Nordic" w:cs="Times New Roman"/>
          <w:b/>
          <w:bCs/>
          <w:color w:val="000000"/>
          <w:lang w:eastAsia="it-IT"/>
        </w:rPr>
        <w:t xml:space="preserve">N. 06959/2021 </w:t>
      </w:r>
      <w:proofErr w:type="spellStart"/>
      <w:r w:rsidRPr="00C4366E">
        <w:rPr>
          <w:rFonts w:ascii="Times Nordic" w:eastAsia="Times New Roman" w:hAnsi="Times Nordic" w:cs="Times New Roman"/>
          <w:b/>
          <w:bCs/>
          <w:color w:val="000000"/>
          <w:lang w:eastAsia="it-IT"/>
        </w:rPr>
        <w:t>REG.PROV.COLL</w:t>
      </w:r>
      <w:proofErr w:type="spellEnd"/>
      <w:r w:rsidRPr="00C4366E">
        <w:rPr>
          <w:rFonts w:ascii="Times Nordic" w:eastAsia="Times New Roman" w:hAnsi="Times Nordic" w:cs="Times New Roman"/>
          <w:b/>
          <w:bCs/>
          <w:color w:val="000000"/>
          <w:lang w:eastAsia="it-IT"/>
        </w:rPr>
        <w:t>.</w:t>
      </w:r>
    </w:p>
    <w:p w:rsidR="00C4366E" w:rsidRPr="00C4366E" w:rsidRDefault="00C4366E" w:rsidP="00C4366E">
      <w:pPr>
        <w:spacing w:after="100" w:afterAutospacing="1" w:line="0" w:lineRule="atLeast"/>
        <w:jc w:val="right"/>
        <w:rPr>
          <w:rFonts w:ascii="Times Nordic" w:eastAsia="Times New Roman" w:hAnsi="Times Nordic" w:cs="Times New Roman"/>
          <w:b/>
          <w:bCs/>
          <w:color w:val="000000"/>
          <w:lang w:eastAsia="it-IT"/>
        </w:rPr>
      </w:pPr>
      <w:r w:rsidRPr="00C4366E">
        <w:rPr>
          <w:rFonts w:ascii="Times Nordic" w:eastAsia="Times New Roman" w:hAnsi="Times Nordic" w:cs="Times New Roman"/>
          <w:b/>
          <w:bCs/>
          <w:color w:val="000000"/>
          <w:lang w:eastAsia="it-IT"/>
        </w:rPr>
        <w:t xml:space="preserve">N. 02512/2021 </w:t>
      </w:r>
      <w:proofErr w:type="spellStart"/>
      <w:r w:rsidRPr="00C4366E">
        <w:rPr>
          <w:rFonts w:ascii="Times Nordic" w:eastAsia="Times New Roman" w:hAnsi="Times Nordic" w:cs="Times New Roman"/>
          <w:b/>
          <w:bCs/>
          <w:color w:val="000000"/>
          <w:lang w:eastAsia="it-IT"/>
        </w:rPr>
        <w:t>REG.RIC</w:t>
      </w:r>
      <w:proofErr w:type="spellEnd"/>
      <w:r w:rsidRPr="00C4366E">
        <w:rPr>
          <w:rFonts w:ascii="Times Nordic" w:eastAsia="Times New Roman" w:hAnsi="Times Nordic" w:cs="Times New Roman"/>
          <w:b/>
          <w:bCs/>
          <w:color w:val="000000"/>
          <w:lang w:eastAsia="it-IT"/>
        </w:rPr>
        <w:t>.           </w:t>
      </w:r>
    </w:p>
    <w:p w:rsidR="00C4366E" w:rsidRPr="00C4366E" w:rsidRDefault="00C4366E" w:rsidP="00C4366E">
      <w:pPr>
        <w:spacing w:after="100" w:afterAutospacing="1"/>
        <w:jc w:val="center"/>
        <w:rPr>
          <w:rFonts w:ascii="Garamond" w:eastAsia="Times New Roman" w:hAnsi="Garamond" w:cs="Times New Roman"/>
          <w:b/>
          <w:bCs/>
          <w:color w:val="000000"/>
          <w:spacing w:val="80"/>
          <w:sz w:val="27"/>
          <w:szCs w:val="27"/>
          <w:lang w:eastAsia="it-IT"/>
        </w:rPr>
      </w:pPr>
      <w:r>
        <w:rPr>
          <w:rFonts w:ascii="Garamond" w:eastAsia="Times New Roman" w:hAnsi="Garamond" w:cs="Times New Roman"/>
          <w:b/>
          <w:bCs/>
          <w:noProof/>
          <w:color w:val="000000"/>
          <w:spacing w:val="80"/>
          <w:sz w:val="27"/>
          <w:szCs w:val="27"/>
          <w:lang w:eastAsia="it-IT"/>
        </w:rPr>
        <w:drawing>
          <wp:inline distT="0" distB="0" distL="0" distR="0">
            <wp:extent cx="726440" cy="828040"/>
            <wp:effectExtent l="19050" t="0" r="0" b="0"/>
            <wp:docPr id="1" name="Immagine 1"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ustizia-amministrativa.it/web/guest/stemma.jpg"/>
                    <pic:cNvPicPr>
                      <a:picLocks noChangeAspect="1" noChangeArrowheads="1"/>
                    </pic:cNvPicPr>
                  </pic:nvPicPr>
                  <pic:blipFill>
                    <a:blip r:embed="rId4" cstate="print"/>
                    <a:srcRect/>
                    <a:stretch>
                      <a:fillRect/>
                    </a:stretch>
                  </pic:blipFill>
                  <pic:spPr bwMode="auto">
                    <a:xfrm>
                      <a:off x="0" y="0"/>
                      <a:ext cx="726440" cy="828040"/>
                    </a:xfrm>
                    <a:prstGeom prst="rect">
                      <a:avLst/>
                    </a:prstGeom>
                    <a:noFill/>
                    <a:ln w="9525">
                      <a:noFill/>
                      <a:miter lim="800000"/>
                      <a:headEnd/>
                      <a:tailEnd/>
                    </a:ln>
                  </pic:spPr>
                </pic:pic>
              </a:graphicData>
            </a:graphic>
          </wp:inline>
        </w:drawing>
      </w:r>
    </w:p>
    <w:p w:rsidR="00C4366E" w:rsidRPr="00C4366E" w:rsidRDefault="00C4366E" w:rsidP="00C4366E">
      <w:pPr>
        <w:spacing w:after="100" w:afterAutospacing="1"/>
        <w:jc w:val="center"/>
        <w:outlineLvl w:val="1"/>
        <w:rPr>
          <w:rFonts w:ascii="Garamond" w:eastAsia="Times New Roman" w:hAnsi="Garamond" w:cs="Times New Roman"/>
          <w:b/>
          <w:bCs/>
          <w:color w:val="000000"/>
          <w:spacing w:val="80"/>
          <w:kern w:val="36"/>
          <w:sz w:val="24"/>
          <w:szCs w:val="24"/>
          <w:lang w:eastAsia="it-IT"/>
        </w:rPr>
      </w:pPr>
      <w:r w:rsidRPr="00C4366E">
        <w:rPr>
          <w:rFonts w:ascii="Garamond" w:eastAsia="Times New Roman" w:hAnsi="Garamond" w:cs="Times New Roman"/>
          <w:b/>
          <w:bCs/>
          <w:color w:val="000000"/>
          <w:spacing w:val="80"/>
          <w:kern w:val="36"/>
          <w:sz w:val="24"/>
          <w:szCs w:val="24"/>
          <w:lang w:eastAsia="it-IT"/>
        </w:rPr>
        <w:t>REPUBBLICA ITALIANA</w:t>
      </w:r>
    </w:p>
    <w:p w:rsidR="00C4366E" w:rsidRPr="00C4366E" w:rsidRDefault="00C4366E" w:rsidP="00C4366E">
      <w:pPr>
        <w:spacing w:after="100" w:afterAutospacing="1"/>
        <w:jc w:val="center"/>
        <w:rPr>
          <w:rFonts w:ascii="Garamond" w:eastAsia="Times New Roman" w:hAnsi="Garamond" w:cs="Times New Roman"/>
          <w:b/>
          <w:bCs/>
          <w:color w:val="000000"/>
          <w:sz w:val="26"/>
          <w:szCs w:val="26"/>
          <w:lang w:eastAsia="it-IT"/>
        </w:rPr>
      </w:pPr>
      <w:r w:rsidRPr="00C4366E">
        <w:rPr>
          <w:rFonts w:ascii="Garamond" w:eastAsia="Times New Roman" w:hAnsi="Garamond" w:cs="Times New Roman"/>
          <w:b/>
          <w:bCs/>
          <w:color w:val="000000"/>
          <w:sz w:val="26"/>
          <w:szCs w:val="26"/>
          <w:lang w:eastAsia="it-IT"/>
        </w:rPr>
        <w:t>Il Consiglio di Stato</w:t>
      </w:r>
    </w:p>
    <w:p w:rsidR="00C4366E" w:rsidRPr="00C4366E" w:rsidRDefault="00C4366E" w:rsidP="00C4366E">
      <w:pPr>
        <w:spacing w:after="100" w:afterAutospacing="1"/>
        <w:jc w:val="center"/>
        <w:rPr>
          <w:rFonts w:ascii="Garamond" w:eastAsia="Times New Roman" w:hAnsi="Garamond" w:cs="Times New Roman"/>
          <w:b/>
          <w:bCs/>
          <w:color w:val="000000"/>
          <w:sz w:val="26"/>
          <w:szCs w:val="26"/>
          <w:lang w:eastAsia="it-IT"/>
        </w:rPr>
      </w:pPr>
      <w:r w:rsidRPr="00C4366E">
        <w:rPr>
          <w:rFonts w:ascii="Garamond" w:eastAsia="Times New Roman" w:hAnsi="Garamond" w:cs="Times New Roman"/>
          <w:b/>
          <w:bCs/>
          <w:color w:val="000000"/>
          <w:sz w:val="26"/>
          <w:szCs w:val="26"/>
          <w:lang w:eastAsia="it-IT"/>
        </w:rPr>
        <w:t>in sede giurisdizionale (Sezione Quinta)</w:t>
      </w:r>
    </w:p>
    <w:p w:rsidR="00C4366E" w:rsidRPr="00C4366E" w:rsidRDefault="00C4366E" w:rsidP="00C4366E">
      <w:pPr>
        <w:spacing w:before="0" w:beforeAutospacing="0" w:line="520" w:lineRule="atLeast"/>
        <w:ind w:firstLine="567"/>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ha pronunciato la presente</w:t>
      </w:r>
    </w:p>
    <w:p w:rsidR="00C4366E" w:rsidRPr="00C4366E" w:rsidRDefault="00C4366E" w:rsidP="00C4366E">
      <w:pPr>
        <w:spacing w:after="100" w:afterAutospacing="1"/>
        <w:jc w:val="center"/>
        <w:rPr>
          <w:rFonts w:ascii="Garamond" w:eastAsia="Times New Roman" w:hAnsi="Garamond" w:cs="Times New Roman"/>
          <w:b/>
          <w:bCs/>
          <w:color w:val="000000"/>
          <w:sz w:val="26"/>
          <w:szCs w:val="26"/>
          <w:lang w:eastAsia="it-IT"/>
        </w:rPr>
      </w:pPr>
      <w:r w:rsidRPr="00C4366E">
        <w:rPr>
          <w:rFonts w:ascii="Garamond" w:eastAsia="Times New Roman" w:hAnsi="Garamond" w:cs="Times New Roman"/>
          <w:b/>
          <w:bCs/>
          <w:color w:val="000000"/>
          <w:sz w:val="26"/>
          <w:szCs w:val="26"/>
          <w:lang w:eastAsia="it-IT"/>
        </w:rPr>
        <w:t xml:space="preserve">ORDINANZA </w:t>
      </w:r>
      <w:proofErr w:type="spellStart"/>
      <w:r w:rsidRPr="00C4366E">
        <w:rPr>
          <w:rFonts w:ascii="Garamond" w:eastAsia="Times New Roman" w:hAnsi="Garamond" w:cs="Times New Roman"/>
          <w:b/>
          <w:bCs/>
          <w:color w:val="000000"/>
          <w:sz w:val="26"/>
          <w:szCs w:val="26"/>
          <w:lang w:eastAsia="it-IT"/>
        </w:rPr>
        <w:t>DI</w:t>
      </w:r>
      <w:proofErr w:type="spellEnd"/>
      <w:r w:rsidRPr="00C4366E">
        <w:rPr>
          <w:rFonts w:ascii="Garamond" w:eastAsia="Times New Roman" w:hAnsi="Garamond" w:cs="Times New Roman"/>
          <w:b/>
          <w:bCs/>
          <w:color w:val="000000"/>
          <w:sz w:val="26"/>
          <w:szCs w:val="26"/>
          <w:lang w:eastAsia="it-IT"/>
        </w:rPr>
        <w:t xml:space="preserve"> RIMESSIONE ALL'ADUNANZA PLENARIA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sul ricorso in appello iscritto al numero di registro generale 2512 del 2021, proposto da</w:t>
      </w:r>
    </w:p>
    <w:p w:rsidR="00C4366E" w:rsidRPr="00C4366E" w:rsidRDefault="00C4366E" w:rsidP="00C4366E">
      <w:pPr>
        <w:spacing w:before="0" w:beforeAutospacing="0"/>
        <w:rPr>
          <w:rFonts w:ascii="Times New Roman" w:eastAsia="Times New Roman" w:hAnsi="Times New Roman" w:cs="Times New Roman"/>
          <w:sz w:val="24"/>
          <w:szCs w:val="24"/>
          <w:lang w:eastAsia="it-IT"/>
        </w:rPr>
      </w:pPr>
      <w:r w:rsidRPr="00C4366E">
        <w:rPr>
          <w:rFonts w:ascii="Times New Roman" w:eastAsia="Times New Roman" w:hAnsi="Times New Roman" w:cs="Times New Roman"/>
          <w:color w:val="000000"/>
          <w:sz w:val="27"/>
          <w:szCs w:val="27"/>
          <w:lang w:eastAsia="it-IT"/>
        </w:rPr>
        <w:br/>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proofErr w:type="spellStart"/>
      <w:r w:rsidRPr="00C4366E">
        <w:rPr>
          <w:rFonts w:ascii="Garamond" w:eastAsia="Times New Roman" w:hAnsi="Garamond" w:cs="Times New Roman"/>
          <w:color w:val="000000"/>
          <w:sz w:val="30"/>
          <w:szCs w:val="30"/>
          <w:lang w:eastAsia="it-IT"/>
        </w:rPr>
        <w:t>C.M.B.</w:t>
      </w:r>
      <w:proofErr w:type="spellEnd"/>
      <w:r w:rsidRPr="00C4366E">
        <w:rPr>
          <w:rFonts w:ascii="Garamond" w:eastAsia="Times New Roman" w:hAnsi="Garamond" w:cs="Times New Roman"/>
          <w:color w:val="000000"/>
          <w:sz w:val="30"/>
          <w:szCs w:val="30"/>
          <w:lang w:eastAsia="it-IT"/>
        </w:rPr>
        <w:t xml:space="preserve"> Società Cooperativa Muratori e Braccianti di Carpi in proprio e quale mandataria del raggruppamento temporaneo di imprese con </w:t>
      </w:r>
      <w:proofErr w:type="spellStart"/>
      <w:r w:rsidRPr="00C4366E">
        <w:rPr>
          <w:rFonts w:ascii="Garamond" w:eastAsia="Times New Roman" w:hAnsi="Garamond" w:cs="Times New Roman"/>
          <w:color w:val="000000"/>
          <w:sz w:val="30"/>
          <w:szCs w:val="30"/>
          <w:lang w:eastAsia="it-IT"/>
        </w:rPr>
        <w:t>Itinera</w:t>
      </w:r>
      <w:proofErr w:type="spellEnd"/>
      <w:r w:rsidRPr="00C4366E">
        <w:rPr>
          <w:rFonts w:ascii="Garamond" w:eastAsia="Times New Roman" w:hAnsi="Garamond" w:cs="Times New Roman"/>
          <w:color w:val="000000"/>
          <w:sz w:val="30"/>
          <w:szCs w:val="30"/>
          <w:lang w:eastAsia="it-IT"/>
        </w:rPr>
        <w:t xml:space="preserve"> s.p.a. quale mandante, in persona del legale rappresentante, rappresentata e difesa dagli avvocati Marco </w:t>
      </w:r>
      <w:proofErr w:type="spellStart"/>
      <w:r w:rsidRPr="00C4366E">
        <w:rPr>
          <w:rFonts w:ascii="Garamond" w:eastAsia="Times New Roman" w:hAnsi="Garamond" w:cs="Times New Roman"/>
          <w:color w:val="000000"/>
          <w:sz w:val="30"/>
          <w:szCs w:val="30"/>
          <w:lang w:eastAsia="it-IT"/>
        </w:rPr>
        <w:t>Annoni</w:t>
      </w:r>
      <w:proofErr w:type="spellEnd"/>
      <w:r w:rsidRPr="00C4366E">
        <w:rPr>
          <w:rFonts w:ascii="Garamond" w:eastAsia="Times New Roman" w:hAnsi="Garamond" w:cs="Times New Roman"/>
          <w:color w:val="000000"/>
          <w:sz w:val="30"/>
          <w:szCs w:val="30"/>
          <w:lang w:eastAsia="it-IT"/>
        </w:rPr>
        <w:t xml:space="preserve"> e Giuseppe </w:t>
      </w:r>
      <w:proofErr w:type="spellStart"/>
      <w:r w:rsidRPr="00C4366E">
        <w:rPr>
          <w:rFonts w:ascii="Garamond" w:eastAsia="Times New Roman" w:hAnsi="Garamond" w:cs="Times New Roman"/>
          <w:color w:val="000000"/>
          <w:sz w:val="30"/>
          <w:szCs w:val="30"/>
          <w:lang w:eastAsia="it-IT"/>
        </w:rPr>
        <w:t>Morbidelli</w:t>
      </w:r>
      <w:proofErr w:type="spellEnd"/>
      <w:r w:rsidRPr="00C4366E">
        <w:rPr>
          <w:rFonts w:ascii="Garamond" w:eastAsia="Times New Roman" w:hAnsi="Garamond" w:cs="Times New Roman"/>
          <w:color w:val="000000"/>
          <w:sz w:val="30"/>
          <w:szCs w:val="30"/>
          <w:lang w:eastAsia="it-IT"/>
        </w:rPr>
        <w:t xml:space="preserve">, con domicilio eletto presso lo studio dell’avv. Marco </w:t>
      </w:r>
      <w:proofErr w:type="spellStart"/>
      <w:r w:rsidRPr="00C4366E">
        <w:rPr>
          <w:rFonts w:ascii="Garamond" w:eastAsia="Times New Roman" w:hAnsi="Garamond" w:cs="Times New Roman"/>
          <w:color w:val="000000"/>
          <w:sz w:val="30"/>
          <w:szCs w:val="30"/>
          <w:lang w:eastAsia="it-IT"/>
        </w:rPr>
        <w:t>Annoni</w:t>
      </w:r>
      <w:proofErr w:type="spellEnd"/>
      <w:r w:rsidRPr="00C4366E">
        <w:rPr>
          <w:rFonts w:ascii="Garamond" w:eastAsia="Times New Roman" w:hAnsi="Garamond" w:cs="Times New Roman"/>
          <w:color w:val="000000"/>
          <w:sz w:val="30"/>
          <w:szCs w:val="30"/>
          <w:lang w:eastAsia="it-IT"/>
        </w:rPr>
        <w:t xml:space="preserve"> in Roma, via Udine, 6;</w:t>
      </w:r>
    </w:p>
    <w:p w:rsidR="00C4366E" w:rsidRPr="00C4366E" w:rsidRDefault="00C4366E" w:rsidP="00C4366E">
      <w:pPr>
        <w:spacing w:before="0" w:beforeAutospacing="0"/>
        <w:rPr>
          <w:rFonts w:ascii="Times New Roman" w:eastAsia="Times New Roman" w:hAnsi="Times New Roman" w:cs="Times New Roman"/>
          <w:sz w:val="24"/>
          <w:szCs w:val="24"/>
          <w:lang w:eastAsia="it-IT"/>
        </w:rPr>
      </w:pPr>
      <w:r w:rsidRPr="00C4366E">
        <w:rPr>
          <w:rFonts w:ascii="Times New Roman" w:eastAsia="Times New Roman" w:hAnsi="Times New Roman" w:cs="Times New Roman"/>
          <w:color w:val="000000"/>
          <w:sz w:val="27"/>
          <w:szCs w:val="27"/>
          <w:lang w:eastAsia="it-IT"/>
        </w:rPr>
        <w:br/>
      </w:r>
    </w:p>
    <w:p w:rsidR="00C4366E" w:rsidRPr="00C4366E" w:rsidRDefault="00C4366E" w:rsidP="00C4366E">
      <w:pPr>
        <w:spacing w:before="0" w:beforeAutospacing="0" w:line="520" w:lineRule="atLeast"/>
        <w:jc w:val="center"/>
        <w:rPr>
          <w:rFonts w:ascii="Garamond" w:eastAsia="Times New Roman" w:hAnsi="Garamond" w:cs="Times New Roman"/>
          <w:b/>
          <w:bCs/>
          <w:i/>
          <w:iCs/>
          <w:color w:val="000000"/>
          <w:sz w:val="30"/>
          <w:szCs w:val="30"/>
          <w:lang w:eastAsia="it-IT"/>
        </w:rPr>
      </w:pPr>
      <w:r w:rsidRPr="00C4366E">
        <w:rPr>
          <w:rFonts w:ascii="Garamond" w:eastAsia="Times New Roman" w:hAnsi="Garamond" w:cs="Times New Roman"/>
          <w:b/>
          <w:bCs/>
          <w:i/>
          <w:iCs/>
          <w:color w:val="000000"/>
          <w:sz w:val="30"/>
          <w:szCs w:val="30"/>
          <w:lang w:eastAsia="it-IT"/>
        </w:rPr>
        <w:t>contro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Consorzio Stabile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s.c.p.a.</w:t>
      </w:r>
      <w:proofErr w:type="spellEnd"/>
      <w:r w:rsidRPr="00C4366E">
        <w:rPr>
          <w:rFonts w:ascii="Garamond" w:eastAsia="Times New Roman" w:hAnsi="Garamond" w:cs="Times New Roman"/>
          <w:color w:val="000000"/>
          <w:sz w:val="30"/>
          <w:szCs w:val="30"/>
          <w:lang w:eastAsia="it-IT"/>
        </w:rPr>
        <w:t xml:space="preserve">, in persona del legale rappresentante, rappresentato e difeso dagli avvocati Andrea </w:t>
      </w:r>
      <w:proofErr w:type="spellStart"/>
      <w:r w:rsidRPr="00C4366E">
        <w:rPr>
          <w:rFonts w:ascii="Garamond" w:eastAsia="Times New Roman" w:hAnsi="Garamond" w:cs="Times New Roman"/>
          <w:color w:val="000000"/>
          <w:sz w:val="30"/>
          <w:szCs w:val="30"/>
          <w:lang w:eastAsia="it-IT"/>
        </w:rPr>
        <w:t>Abbamonte</w:t>
      </w:r>
      <w:proofErr w:type="spellEnd"/>
      <w:r w:rsidRPr="00C4366E">
        <w:rPr>
          <w:rFonts w:ascii="Garamond" w:eastAsia="Times New Roman" w:hAnsi="Garamond" w:cs="Times New Roman"/>
          <w:color w:val="000000"/>
          <w:sz w:val="30"/>
          <w:szCs w:val="30"/>
          <w:lang w:eastAsia="it-IT"/>
        </w:rPr>
        <w:t xml:space="preserve">, Arturo </w:t>
      </w:r>
      <w:proofErr w:type="spellStart"/>
      <w:r w:rsidRPr="00C4366E">
        <w:rPr>
          <w:rFonts w:ascii="Garamond" w:eastAsia="Times New Roman" w:hAnsi="Garamond" w:cs="Times New Roman"/>
          <w:color w:val="000000"/>
          <w:sz w:val="30"/>
          <w:szCs w:val="30"/>
          <w:lang w:eastAsia="it-IT"/>
        </w:rPr>
        <w:t>Cancrini</w:t>
      </w:r>
      <w:proofErr w:type="spellEnd"/>
      <w:r w:rsidRPr="00C4366E">
        <w:rPr>
          <w:rFonts w:ascii="Garamond" w:eastAsia="Times New Roman" w:hAnsi="Garamond" w:cs="Times New Roman"/>
          <w:color w:val="000000"/>
          <w:sz w:val="30"/>
          <w:szCs w:val="30"/>
          <w:lang w:eastAsia="it-IT"/>
        </w:rPr>
        <w:t>, Gianluigi Pellegrino e Mariano Maggi, con domicilio digitale come da PEC tratta dai Registri di Giustizia;</w:t>
      </w:r>
    </w:p>
    <w:p w:rsidR="00C4366E" w:rsidRPr="00C4366E" w:rsidRDefault="00C4366E" w:rsidP="00C4366E">
      <w:pPr>
        <w:spacing w:before="0" w:beforeAutospacing="0" w:line="520" w:lineRule="atLeast"/>
        <w:jc w:val="center"/>
        <w:rPr>
          <w:rFonts w:ascii="Garamond" w:eastAsia="Times New Roman" w:hAnsi="Garamond" w:cs="Times New Roman"/>
          <w:b/>
          <w:bCs/>
          <w:i/>
          <w:iCs/>
          <w:color w:val="000000"/>
          <w:sz w:val="30"/>
          <w:szCs w:val="30"/>
          <w:lang w:eastAsia="it-IT"/>
        </w:rPr>
      </w:pPr>
      <w:r w:rsidRPr="00C4366E">
        <w:rPr>
          <w:rFonts w:ascii="Garamond" w:eastAsia="Times New Roman" w:hAnsi="Garamond" w:cs="Times New Roman"/>
          <w:b/>
          <w:bCs/>
          <w:i/>
          <w:iCs/>
          <w:color w:val="000000"/>
          <w:sz w:val="30"/>
          <w:szCs w:val="30"/>
          <w:lang w:eastAsia="it-IT"/>
        </w:rPr>
        <w:t>nei confronti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lastRenderedPageBreak/>
        <w:t xml:space="preserve">Autostrade per l'Italia s.p.a., in persona del legale rappresentante, rappresentata e difesa dall'avvocato Arrigo </w:t>
      </w:r>
      <w:proofErr w:type="spellStart"/>
      <w:r w:rsidRPr="00C4366E">
        <w:rPr>
          <w:rFonts w:ascii="Garamond" w:eastAsia="Times New Roman" w:hAnsi="Garamond" w:cs="Times New Roman"/>
          <w:color w:val="000000"/>
          <w:sz w:val="30"/>
          <w:szCs w:val="30"/>
          <w:lang w:eastAsia="it-IT"/>
        </w:rPr>
        <w:t>Varlaro</w:t>
      </w:r>
      <w:proofErr w:type="spellEnd"/>
      <w:r w:rsidRPr="00C4366E">
        <w:rPr>
          <w:rFonts w:ascii="Garamond" w:eastAsia="Times New Roman" w:hAnsi="Garamond" w:cs="Times New Roman"/>
          <w:color w:val="000000"/>
          <w:sz w:val="30"/>
          <w:szCs w:val="30"/>
          <w:lang w:eastAsia="it-IT"/>
        </w:rPr>
        <w:t xml:space="preserve"> </w:t>
      </w:r>
      <w:proofErr w:type="spellStart"/>
      <w:r w:rsidRPr="00C4366E">
        <w:rPr>
          <w:rFonts w:ascii="Garamond" w:eastAsia="Times New Roman" w:hAnsi="Garamond" w:cs="Times New Roman"/>
          <w:color w:val="000000"/>
          <w:sz w:val="30"/>
          <w:szCs w:val="30"/>
          <w:lang w:eastAsia="it-IT"/>
        </w:rPr>
        <w:t>Sinisi</w:t>
      </w:r>
      <w:proofErr w:type="spellEnd"/>
      <w:r w:rsidRPr="00C4366E">
        <w:rPr>
          <w:rFonts w:ascii="Garamond" w:eastAsia="Times New Roman" w:hAnsi="Garamond" w:cs="Times New Roman"/>
          <w:color w:val="000000"/>
          <w:sz w:val="30"/>
          <w:szCs w:val="30"/>
          <w:lang w:eastAsia="it-IT"/>
        </w:rPr>
        <w:t xml:space="preserve">, con domicilio eletto presso il suo studio in Roma, via </w:t>
      </w:r>
      <w:proofErr w:type="spellStart"/>
      <w:r w:rsidRPr="00C4366E">
        <w:rPr>
          <w:rFonts w:ascii="Garamond" w:eastAsia="Times New Roman" w:hAnsi="Garamond" w:cs="Times New Roman"/>
          <w:color w:val="000000"/>
          <w:sz w:val="30"/>
          <w:szCs w:val="30"/>
          <w:lang w:eastAsia="it-IT"/>
        </w:rPr>
        <w:t>Sebino</w:t>
      </w:r>
      <w:proofErr w:type="spellEnd"/>
      <w:r w:rsidRPr="00C4366E">
        <w:rPr>
          <w:rFonts w:ascii="Garamond" w:eastAsia="Times New Roman" w:hAnsi="Garamond" w:cs="Times New Roman"/>
          <w:color w:val="000000"/>
          <w:sz w:val="30"/>
          <w:szCs w:val="30"/>
          <w:lang w:eastAsia="it-IT"/>
        </w:rPr>
        <w:t>, 29;</w:t>
      </w:r>
    </w:p>
    <w:p w:rsidR="00C4366E" w:rsidRPr="00C4366E" w:rsidRDefault="00C4366E" w:rsidP="00C4366E">
      <w:pPr>
        <w:spacing w:before="0" w:beforeAutospacing="0" w:line="520" w:lineRule="atLeast"/>
        <w:jc w:val="center"/>
        <w:rPr>
          <w:rFonts w:ascii="Garamond" w:eastAsia="Times New Roman" w:hAnsi="Garamond" w:cs="Times New Roman"/>
          <w:b/>
          <w:bCs/>
          <w:i/>
          <w:iCs/>
          <w:color w:val="000000"/>
          <w:sz w:val="30"/>
          <w:szCs w:val="30"/>
          <w:lang w:eastAsia="it-IT"/>
        </w:rPr>
      </w:pPr>
      <w:r w:rsidRPr="00C4366E">
        <w:rPr>
          <w:rFonts w:ascii="Garamond" w:eastAsia="Times New Roman" w:hAnsi="Garamond" w:cs="Times New Roman"/>
          <w:b/>
          <w:bCs/>
          <w:i/>
          <w:iCs/>
          <w:color w:val="000000"/>
          <w:sz w:val="30"/>
          <w:szCs w:val="30"/>
          <w:lang w:eastAsia="it-IT"/>
        </w:rPr>
        <w:t>e con l'intervento di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i/>
          <w:iCs/>
          <w:color w:val="000000"/>
          <w:sz w:val="30"/>
          <w:szCs w:val="30"/>
          <w:lang w:eastAsia="it-IT"/>
        </w:rPr>
        <w:t xml:space="preserve">ad </w:t>
      </w:r>
      <w:proofErr w:type="spellStart"/>
      <w:r w:rsidRPr="00C4366E">
        <w:rPr>
          <w:rFonts w:ascii="Garamond" w:eastAsia="Times New Roman" w:hAnsi="Garamond" w:cs="Times New Roman"/>
          <w:i/>
          <w:iCs/>
          <w:color w:val="000000"/>
          <w:sz w:val="30"/>
          <w:szCs w:val="30"/>
          <w:lang w:eastAsia="it-IT"/>
        </w:rPr>
        <w:t>opponendum</w:t>
      </w:r>
      <w:proofErr w:type="spellEnd"/>
      <w:r w:rsidRPr="00C4366E">
        <w:rPr>
          <w:rFonts w:ascii="Garamond" w:eastAsia="Times New Roman" w:hAnsi="Garamond" w:cs="Times New Roman"/>
          <w:color w:val="000000"/>
          <w:sz w:val="30"/>
          <w:szCs w:val="30"/>
          <w:lang w:eastAsia="it-IT"/>
        </w:rPr>
        <w:t>:</w:t>
      </w:r>
      <w:r w:rsidRPr="00C4366E">
        <w:rPr>
          <w:rFonts w:ascii="Garamond" w:eastAsia="Times New Roman" w:hAnsi="Garamond" w:cs="Times New Roman"/>
          <w:color w:val="000000"/>
          <w:sz w:val="30"/>
          <w:szCs w:val="30"/>
          <w:lang w:eastAsia="it-IT"/>
        </w:rPr>
        <w:br/>
        <w:t xml:space="preserve">Valori s.c. a </w:t>
      </w:r>
      <w:proofErr w:type="spellStart"/>
      <w:r w:rsidRPr="00C4366E">
        <w:rPr>
          <w:rFonts w:ascii="Garamond" w:eastAsia="Times New Roman" w:hAnsi="Garamond" w:cs="Times New Roman"/>
          <w:color w:val="000000"/>
          <w:sz w:val="30"/>
          <w:szCs w:val="30"/>
          <w:lang w:eastAsia="it-IT"/>
        </w:rPr>
        <w:t>r.l.</w:t>
      </w:r>
      <w:proofErr w:type="spellEnd"/>
      <w:r w:rsidRPr="00C4366E">
        <w:rPr>
          <w:rFonts w:ascii="Garamond" w:eastAsia="Times New Roman" w:hAnsi="Garamond" w:cs="Times New Roman"/>
          <w:color w:val="000000"/>
          <w:sz w:val="30"/>
          <w:szCs w:val="30"/>
          <w:lang w:eastAsia="it-IT"/>
        </w:rPr>
        <w:t xml:space="preserve"> Consorzio Stabile, in persona del legale rappresentante, rappresentato e difeso dall'avvocato Patrizia Stallone, con domicilio digitale come da PEC tratta dai Registri di Giustizia;</w:t>
      </w:r>
    </w:p>
    <w:p w:rsidR="00C4366E" w:rsidRPr="00C4366E" w:rsidRDefault="00C4366E" w:rsidP="00C4366E">
      <w:pPr>
        <w:spacing w:before="0" w:beforeAutospacing="0" w:line="520" w:lineRule="atLeast"/>
        <w:jc w:val="center"/>
        <w:rPr>
          <w:rFonts w:ascii="Garamond" w:eastAsia="Times New Roman" w:hAnsi="Garamond" w:cs="Times New Roman"/>
          <w:b/>
          <w:bCs/>
          <w:i/>
          <w:iCs/>
          <w:color w:val="000000"/>
          <w:sz w:val="30"/>
          <w:szCs w:val="30"/>
          <w:lang w:eastAsia="it-IT"/>
        </w:rPr>
      </w:pPr>
      <w:r w:rsidRPr="00C4366E">
        <w:rPr>
          <w:rFonts w:ascii="Garamond" w:eastAsia="Times New Roman" w:hAnsi="Garamond" w:cs="Times New Roman"/>
          <w:b/>
          <w:bCs/>
          <w:i/>
          <w:iCs/>
          <w:color w:val="000000"/>
          <w:sz w:val="30"/>
          <w:szCs w:val="30"/>
          <w:lang w:eastAsia="it-IT"/>
        </w:rPr>
        <w:t>per la riforma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della sentenza breve del Tribunale amministrativo regionale per la Toscana (Sezione Seconda) n. 00217/2021, resa tra le parti;</w:t>
      </w:r>
    </w:p>
    <w:p w:rsidR="00C4366E" w:rsidRPr="00C4366E" w:rsidRDefault="00C4366E" w:rsidP="00C4366E">
      <w:pPr>
        <w:spacing w:before="0" w:beforeAutospacing="0"/>
        <w:rPr>
          <w:rFonts w:ascii="Times New Roman" w:eastAsia="Times New Roman" w:hAnsi="Times New Roman" w:cs="Times New Roman"/>
          <w:sz w:val="24"/>
          <w:szCs w:val="24"/>
          <w:lang w:eastAsia="it-IT"/>
        </w:rPr>
      </w:pPr>
      <w:r w:rsidRPr="00C4366E">
        <w:rPr>
          <w:rFonts w:ascii="Times New Roman" w:eastAsia="Times New Roman" w:hAnsi="Times New Roman" w:cs="Times New Roman"/>
          <w:color w:val="000000"/>
          <w:sz w:val="27"/>
          <w:szCs w:val="27"/>
          <w:lang w:eastAsia="it-IT"/>
        </w:rPr>
        <w:br/>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Visti il ricorso in appello e i relativi allegati;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Visti gli atti di costituzione in giudizio di Autostrade per l'Italia S.p.A. e di Consorzio Stabile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s.c.p.a</w:t>
      </w:r>
      <w:proofErr w:type="spellEnd"/>
      <w:r w:rsidRPr="00C4366E">
        <w:rPr>
          <w:rFonts w:ascii="Garamond" w:eastAsia="Times New Roman" w:hAnsi="Garamond" w:cs="Times New Roman"/>
          <w:color w:val="000000"/>
          <w:sz w:val="30"/>
          <w:szCs w:val="30"/>
          <w:lang w:eastAsia="it-IT"/>
        </w:rPr>
        <w:t>..;</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Viste le memorie prodotte dalle parti a sostegno delle rispettive difese;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Visti tutti gli atti della causa;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Relatore nell'udienza pubblica del giorno 23 settembre 2021 il Cons. Federico Di Matteo e uditi per le parti gli avvocati Marco </w:t>
      </w:r>
      <w:proofErr w:type="spellStart"/>
      <w:r w:rsidRPr="00C4366E">
        <w:rPr>
          <w:rFonts w:ascii="Garamond" w:eastAsia="Times New Roman" w:hAnsi="Garamond" w:cs="Times New Roman"/>
          <w:color w:val="000000"/>
          <w:sz w:val="30"/>
          <w:szCs w:val="30"/>
          <w:lang w:eastAsia="it-IT"/>
        </w:rPr>
        <w:t>Annoni</w:t>
      </w:r>
      <w:proofErr w:type="spellEnd"/>
      <w:r w:rsidRPr="00C4366E">
        <w:rPr>
          <w:rFonts w:ascii="Garamond" w:eastAsia="Times New Roman" w:hAnsi="Garamond" w:cs="Times New Roman"/>
          <w:color w:val="000000"/>
          <w:sz w:val="30"/>
          <w:szCs w:val="30"/>
          <w:lang w:eastAsia="it-IT"/>
        </w:rPr>
        <w:t xml:space="preserve">, Giuseppe </w:t>
      </w:r>
      <w:proofErr w:type="spellStart"/>
      <w:r w:rsidRPr="00C4366E">
        <w:rPr>
          <w:rFonts w:ascii="Garamond" w:eastAsia="Times New Roman" w:hAnsi="Garamond" w:cs="Times New Roman"/>
          <w:color w:val="000000"/>
          <w:sz w:val="30"/>
          <w:szCs w:val="30"/>
          <w:lang w:eastAsia="it-IT"/>
        </w:rPr>
        <w:t>Morbidelli</w:t>
      </w:r>
      <w:proofErr w:type="spellEnd"/>
      <w:r w:rsidRPr="00C4366E">
        <w:rPr>
          <w:rFonts w:ascii="Garamond" w:eastAsia="Times New Roman" w:hAnsi="Garamond" w:cs="Times New Roman"/>
          <w:color w:val="000000"/>
          <w:sz w:val="30"/>
          <w:szCs w:val="30"/>
          <w:lang w:eastAsia="it-IT"/>
        </w:rPr>
        <w:t xml:space="preserve">, Gianluigi Pellegrino, </w:t>
      </w:r>
      <w:proofErr w:type="spellStart"/>
      <w:r w:rsidRPr="00C4366E">
        <w:rPr>
          <w:rFonts w:ascii="Garamond" w:eastAsia="Times New Roman" w:hAnsi="Garamond" w:cs="Times New Roman"/>
          <w:color w:val="000000"/>
          <w:sz w:val="30"/>
          <w:szCs w:val="30"/>
          <w:lang w:eastAsia="it-IT"/>
        </w:rPr>
        <w:t>Vagnucci</w:t>
      </w:r>
      <w:proofErr w:type="spellEnd"/>
      <w:r w:rsidRPr="00C4366E">
        <w:rPr>
          <w:rFonts w:ascii="Garamond" w:eastAsia="Times New Roman" w:hAnsi="Garamond" w:cs="Times New Roman"/>
          <w:color w:val="000000"/>
          <w:sz w:val="30"/>
          <w:szCs w:val="30"/>
          <w:lang w:eastAsia="it-IT"/>
        </w:rPr>
        <w:t xml:space="preserve"> per delega dell'avv. Arturo </w:t>
      </w:r>
      <w:proofErr w:type="spellStart"/>
      <w:r w:rsidRPr="00C4366E">
        <w:rPr>
          <w:rFonts w:ascii="Garamond" w:eastAsia="Times New Roman" w:hAnsi="Garamond" w:cs="Times New Roman"/>
          <w:color w:val="000000"/>
          <w:sz w:val="30"/>
          <w:szCs w:val="30"/>
          <w:lang w:eastAsia="it-IT"/>
        </w:rPr>
        <w:t>Cancrini</w:t>
      </w:r>
      <w:proofErr w:type="spellEnd"/>
      <w:r w:rsidRPr="00C4366E">
        <w:rPr>
          <w:rFonts w:ascii="Garamond" w:eastAsia="Times New Roman" w:hAnsi="Garamond" w:cs="Times New Roman"/>
          <w:color w:val="000000"/>
          <w:sz w:val="30"/>
          <w:szCs w:val="30"/>
          <w:lang w:eastAsia="it-IT"/>
        </w:rPr>
        <w:t xml:space="preserve"> e per Patrizia Stallone, </w:t>
      </w:r>
      <w:proofErr w:type="spellStart"/>
      <w:r w:rsidRPr="00C4366E">
        <w:rPr>
          <w:rFonts w:ascii="Garamond" w:eastAsia="Times New Roman" w:hAnsi="Garamond" w:cs="Times New Roman"/>
          <w:color w:val="000000"/>
          <w:sz w:val="30"/>
          <w:szCs w:val="30"/>
          <w:lang w:eastAsia="it-IT"/>
        </w:rPr>
        <w:t>Varlaro</w:t>
      </w:r>
      <w:proofErr w:type="spellEnd"/>
      <w:r w:rsidRPr="00C4366E">
        <w:rPr>
          <w:rFonts w:ascii="Garamond" w:eastAsia="Times New Roman" w:hAnsi="Garamond" w:cs="Times New Roman"/>
          <w:color w:val="000000"/>
          <w:sz w:val="30"/>
          <w:szCs w:val="30"/>
          <w:lang w:eastAsia="it-IT"/>
        </w:rPr>
        <w:t>;</w:t>
      </w:r>
    </w:p>
    <w:p w:rsidR="00C4366E" w:rsidRPr="00C4366E" w:rsidRDefault="00C4366E" w:rsidP="00C4366E">
      <w:pPr>
        <w:spacing w:before="0" w:beforeAutospacing="0"/>
        <w:rPr>
          <w:rFonts w:ascii="Times New Roman" w:eastAsia="Times New Roman" w:hAnsi="Times New Roman" w:cs="Times New Roman"/>
          <w:sz w:val="24"/>
          <w:szCs w:val="24"/>
          <w:lang w:eastAsia="it-IT"/>
        </w:rPr>
      </w:pPr>
      <w:r w:rsidRPr="00C4366E">
        <w:rPr>
          <w:rFonts w:ascii="Times New Roman" w:eastAsia="Times New Roman" w:hAnsi="Times New Roman" w:cs="Times New Roman"/>
          <w:color w:val="000000"/>
          <w:sz w:val="27"/>
          <w:szCs w:val="27"/>
          <w:lang w:eastAsia="it-IT"/>
        </w:rPr>
        <w:br/>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I. </w:t>
      </w:r>
      <w:r w:rsidRPr="00C4366E">
        <w:rPr>
          <w:rFonts w:ascii="Garamond" w:eastAsia="Times New Roman" w:hAnsi="Garamond" w:cs="Times New Roman"/>
          <w:i/>
          <w:iCs/>
          <w:color w:val="000000"/>
          <w:sz w:val="30"/>
          <w:szCs w:val="30"/>
          <w:lang w:eastAsia="it-IT"/>
        </w:rPr>
        <w:t>I fatti di causa.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1. Con bando pubblicato in Gazzetta ufficiale della Repubblica italiana il 14 aprile 2018 </w:t>
      </w:r>
      <w:proofErr w:type="spellStart"/>
      <w:r w:rsidRPr="00C4366E">
        <w:rPr>
          <w:rFonts w:ascii="Garamond" w:eastAsia="Times New Roman" w:hAnsi="Garamond" w:cs="Times New Roman"/>
          <w:color w:val="000000"/>
          <w:sz w:val="30"/>
          <w:szCs w:val="30"/>
          <w:lang w:eastAsia="it-IT"/>
        </w:rPr>
        <w:t>A.s.p.i.</w:t>
      </w:r>
      <w:proofErr w:type="spellEnd"/>
      <w:r w:rsidRPr="00C4366E">
        <w:rPr>
          <w:rFonts w:ascii="Garamond" w:eastAsia="Times New Roman" w:hAnsi="Garamond" w:cs="Times New Roman"/>
          <w:color w:val="000000"/>
          <w:sz w:val="30"/>
          <w:szCs w:val="30"/>
          <w:lang w:eastAsia="it-IT"/>
        </w:rPr>
        <w:t xml:space="preserve"> – Autostrade per l’Italia indiceva una procedura di gara ristretta per l’affidamento dei “</w:t>
      </w:r>
      <w:r w:rsidRPr="00C4366E">
        <w:rPr>
          <w:rFonts w:ascii="Garamond" w:eastAsia="Times New Roman" w:hAnsi="Garamond" w:cs="Times New Roman"/>
          <w:i/>
          <w:iCs/>
          <w:color w:val="000000"/>
          <w:sz w:val="30"/>
          <w:szCs w:val="30"/>
          <w:lang w:eastAsia="it-IT"/>
        </w:rPr>
        <w:t xml:space="preserve">lavori di ampliamento della terza corsia tratto Firenze Sud – Incisa, Lotto </w:t>
      </w:r>
      <w:r w:rsidRPr="00C4366E">
        <w:rPr>
          <w:rFonts w:ascii="Garamond" w:eastAsia="Times New Roman" w:hAnsi="Garamond" w:cs="Times New Roman"/>
          <w:i/>
          <w:iCs/>
          <w:color w:val="000000"/>
          <w:sz w:val="30"/>
          <w:szCs w:val="30"/>
          <w:lang w:eastAsia="it-IT"/>
        </w:rPr>
        <w:lastRenderedPageBreak/>
        <w:t>2B+1S, da progressiva km 306+986 a km 318+511</w:t>
      </w:r>
      <w:r w:rsidRPr="00C4366E">
        <w:rPr>
          <w:rFonts w:ascii="Garamond" w:eastAsia="Times New Roman" w:hAnsi="Garamond" w:cs="Times New Roman"/>
          <w:color w:val="000000"/>
          <w:sz w:val="30"/>
          <w:szCs w:val="30"/>
          <w:lang w:eastAsia="it-IT"/>
        </w:rPr>
        <w:t>”, per importo a base d’asta di € 317.356.622,78.</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1.1. Espletata la fase di </w:t>
      </w:r>
      <w:proofErr w:type="spellStart"/>
      <w:r w:rsidRPr="00C4366E">
        <w:rPr>
          <w:rFonts w:ascii="Garamond" w:eastAsia="Times New Roman" w:hAnsi="Garamond" w:cs="Times New Roman"/>
          <w:color w:val="000000"/>
          <w:sz w:val="30"/>
          <w:szCs w:val="30"/>
          <w:lang w:eastAsia="it-IT"/>
        </w:rPr>
        <w:t>prequalifica</w:t>
      </w:r>
      <w:proofErr w:type="spellEnd"/>
      <w:r w:rsidRPr="00C4366E">
        <w:rPr>
          <w:rFonts w:ascii="Garamond" w:eastAsia="Times New Roman" w:hAnsi="Garamond" w:cs="Times New Roman"/>
          <w:color w:val="000000"/>
          <w:sz w:val="30"/>
          <w:szCs w:val="30"/>
          <w:lang w:eastAsia="it-IT"/>
        </w:rPr>
        <w:t xml:space="preserve">, erano invitati a presentare offerta, tra gli altri, il </w:t>
      </w:r>
      <w:proofErr w:type="spellStart"/>
      <w:r w:rsidRPr="00C4366E">
        <w:rPr>
          <w:rFonts w:ascii="Garamond" w:eastAsia="Times New Roman" w:hAnsi="Garamond" w:cs="Times New Roman"/>
          <w:color w:val="000000"/>
          <w:sz w:val="30"/>
          <w:szCs w:val="30"/>
          <w:lang w:eastAsia="it-IT"/>
        </w:rPr>
        <w:t>r.t.i.</w:t>
      </w:r>
      <w:proofErr w:type="spellEnd"/>
      <w:r w:rsidRPr="00C4366E">
        <w:rPr>
          <w:rFonts w:ascii="Garamond" w:eastAsia="Times New Roman" w:hAnsi="Garamond" w:cs="Times New Roman"/>
          <w:color w:val="000000"/>
          <w:sz w:val="30"/>
          <w:szCs w:val="30"/>
          <w:lang w:eastAsia="it-IT"/>
        </w:rPr>
        <w:t xml:space="preserve"> – raggruppamento temporaneo di imprese con </w:t>
      </w:r>
      <w:proofErr w:type="spellStart"/>
      <w:r w:rsidRPr="00C4366E">
        <w:rPr>
          <w:rFonts w:ascii="Garamond" w:eastAsia="Times New Roman" w:hAnsi="Garamond" w:cs="Times New Roman"/>
          <w:color w:val="000000"/>
          <w:sz w:val="30"/>
          <w:szCs w:val="30"/>
          <w:lang w:eastAsia="it-IT"/>
        </w:rPr>
        <w:t>C.M.B.</w:t>
      </w:r>
      <w:proofErr w:type="spellEnd"/>
      <w:r w:rsidRPr="00C4366E">
        <w:rPr>
          <w:rFonts w:ascii="Garamond" w:eastAsia="Times New Roman" w:hAnsi="Garamond" w:cs="Times New Roman"/>
          <w:color w:val="000000"/>
          <w:sz w:val="30"/>
          <w:szCs w:val="30"/>
          <w:lang w:eastAsia="it-IT"/>
        </w:rPr>
        <w:t xml:space="preserve"> Società cooperativa Muratori e Braccianti di Carpi come mandataria e </w:t>
      </w:r>
      <w:proofErr w:type="spellStart"/>
      <w:r w:rsidRPr="00C4366E">
        <w:rPr>
          <w:rFonts w:ascii="Garamond" w:eastAsia="Times New Roman" w:hAnsi="Garamond" w:cs="Times New Roman"/>
          <w:color w:val="000000"/>
          <w:sz w:val="30"/>
          <w:szCs w:val="30"/>
          <w:lang w:eastAsia="it-IT"/>
        </w:rPr>
        <w:t>Itinera</w:t>
      </w:r>
      <w:proofErr w:type="spellEnd"/>
      <w:r w:rsidRPr="00C4366E">
        <w:rPr>
          <w:rFonts w:ascii="Garamond" w:eastAsia="Times New Roman" w:hAnsi="Garamond" w:cs="Times New Roman"/>
          <w:color w:val="000000"/>
          <w:sz w:val="30"/>
          <w:szCs w:val="30"/>
          <w:lang w:eastAsia="it-IT"/>
        </w:rPr>
        <w:t xml:space="preserve"> s.p.a. quale mandante e il </w:t>
      </w:r>
      <w:proofErr w:type="spellStart"/>
      <w:r w:rsidRPr="00C4366E">
        <w:rPr>
          <w:rFonts w:ascii="Garamond" w:eastAsia="Times New Roman" w:hAnsi="Garamond" w:cs="Times New Roman"/>
          <w:color w:val="000000"/>
          <w:sz w:val="30"/>
          <w:szCs w:val="30"/>
          <w:lang w:eastAsia="it-IT"/>
        </w:rPr>
        <w:t>r.t.i.</w:t>
      </w:r>
      <w:proofErr w:type="spellEnd"/>
      <w:r w:rsidRPr="00C4366E">
        <w:rPr>
          <w:rFonts w:ascii="Garamond" w:eastAsia="Times New Roman" w:hAnsi="Garamond" w:cs="Times New Roman"/>
          <w:color w:val="000000"/>
          <w:sz w:val="30"/>
          <w:szCs w:val="30"/>
          <w:lang w:eastAsia="it-IT"/>
        </w:rPr>
        <w:t xml:space="preserve"> con Consorzio Stabile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s.c.p.a.</w:t>
      </w:r>
      <w:proofErr w:type="spellEnd"/>
      <w:r w:rsidRPr="00C4366E">
        <w:rPr>
          <w:rFonts w:ascii="Garamond" w:eastAsia="Times New Roman" w:hAnsi="Garamond" w:cs="Times New Roman"/>
          <w:color w:val="000000"/>
          <w:sz w:val="30"/>
          <w:szCs w:val="30"/>
          <w:lang w:eastAsia="it-IT"/>
        </w:rPr>
        <w:t xml:space="preserve"> quale mandataria e Consorzio Stabile S.A.C. s.c. a </w:t>
      </w:r>
      <w:proofErr w:type="spellStart"/>
      <w:r w:rsidRPr="00C4366E">
        <w:rPr>
          <w:rFonts w:ascii="Garamond" w:eastAsia="Times New Roman" w:hAnsi="Garamond" w:cs="Times New Roman"/>
          <w:color w:val="000000"/>
          <w:sz w:val="30"/>
          <w:szCs w:val="30"/>
          <w:lang w:eastAsia="it-IT"/>
        </w:rPr>
        <w:t>r.l.</w:t>
      </w:r>
      <w:proofErr w:type="spellEnd"/>
      <w:r w:rsidRPr="00C4366E">
        <w:rPr>
          <w:rFonts w:ascii="Garamond" w:eastAsia="Times New Roman" w:hAnsi="Garamond" w:cs="Times New Roman"/>
          <w:color w:val="000000"/>
          <w:sz w:val="30"/>
          <w:szCs w:val="30"/>
          <w:lang w:eastAsia="it-IT"/>
        </w:rPr>
        <w:t xml:space="preserve"> e Consorzio Stabile Valori s.c. a </w:t>
      </w:r>
      <w:proofErr w:type="spellStart"/>
      <w:r w:rsidRPr="00C4366E">
        <w:rPr>
          <w:rFonts w:ascii="Garamond" w:eastAsia="Times New Roman" w:hAnsi="Garamond" w:cs="Times New Roman"/>
          <w:color w:val="000000"/>
          <w:sz w:val="30"/>
          <w:szCs w:val="30"/>
          <w:lang w:eastAsia="it-IT"/>
        </w:rPr>
        <w:t>r.l.</w:t>
      </w:r>
      <w:proofErr w:type="spellEnd"/>
      <w:r w:rsidRPr="00C4366E">
        <w:rPr>
          <w:rFonts w:ascii="Garamond" w:eastAsia="Times New Roman" w:hAnsi="Garamond" w:cs="Times New Roman"/>
          <w:color w:val="000000"/>
          <w:sz w:val="30"/>
          <w:szCs w:val="30"/>
          <w:lang w:eastAsia="it-IT"/>
        </w:rPr>
        <w:t xml:space="preserve"> quali mandanti.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1.2. Nella graduatoria conclusiva delle operazioni di gara il </w:t>
      </w:r>
      <w:proofErr w:type="spellStart"/>
      <w:r w:rsidRPr="00C4366E">
        <w:rPr>
          <w:rFonts w:ascii="Garamond" w:eastAsia="Times New Roman" w:hAnsi="Garamond" w:cs="Times New Roman"/>
          <w:color w:val="000000"/>
          <w:sz w:val="30"/>
          <w:szCs w:val="30"/>
          <w:lang w:eastAsia="it-IT"/>
        </w:rPr>
        <w:t>r.t.i.</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 risultava primo graduato, ed era, pertanto, sottoposto a verifica di congruità ai sensi dell’art. 97, comma 3, d.lgs. 18 aprile 2016, n. 50.</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In corso di espletamento della verifica di anomalia, il 27 aprile 2020 il </w:t>
      </w:r>
      <w:proofErr w:type="spellStart"/>
      <w:r w:rsidRPr="00C4366E">
        <w:rPr>
          <w:rFonts w:ascii="Garamond" w:eastAsia="Times New Roman" w:hAnsi="Garamond" w:cs="Times New Roman"/>
          <w:color w:val="000000"/>
          <w:sz w:val="30"/>
          <w:szCs w:val="30"/>
          <w:lang w:eastAsia="it-IT"/>
        </w:rPr>
        <w:t>r.t.i.</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 xml:space="preserve"> inviava ad </w:t>
      </w:r>
      <w:proofErr w:type="spellStart"/>
      <w:r w:rsidRPr="00C4366E">
        <w:rPr>
          <w:rFonts w:ascii="Garamond" w:eastAsia="Times New Roman" w:hAnsi="Garamond" w:cs="Times New Roman"/>
          <w:color w:val="000000"/>
          <w:sz w:val="30"/>
          <w:szCs w:val="30"/>
          <w:lang w:eastAsia="it-IT"/>
        </w:rPr>
        <w:t>A.s.p.i.</w:t>
      </w:r>
      <w:proofErr w:type="spellEnd"/>
      <w:r w:rsidRPr="00C4366E">
        <w:rPr>
          <w:rFonts w:ascii="Garamond" w:eastAsia="Times New Roman" w:hAnsi="Garamond" w:cs="Times New Roman"/>
          <w:color w:val="000000"/>
          <w:sz w:val="30"/>
          <w:szCs w:val="30"/>
          <w:lang w:eastAsia="it-IT"/>
        </w:rPr>
        <w:t xml:space="preserve"> una nota con la quale rappresentava la “</w:t>
      </w:r>
      <w:r w:rsidRPr="00C4366E">
        <w:rPr>
          <w:rFonts w:ascii="Garamond" w:eastAsia="Times New Roman" w:hAnsi="Garamond" w:cs="Times New Roman"/>
          <w:i/>
          <w:iCs/>
          <w:color w:val="000000"/>
          <w:sz w:val="30"/>
          <w:szCs w:val="30"/>
          <w:lang w:eastAsia="it-IT"/>
        </w:rPr>
        <w:t>possibilità di una mera riduzione della compagine del RTI</w:t>
      </w:r>
      <w:r w:rsidRPr="00C4366E">
        <w:rPr>
          <w:rFonts w:ascii="Garamond" w:eastAsia="Times New Roman" w:hAnsi="Garamond" w:cs="Times New Roman"/>
          <w:color w:val="000000"/>
          <w:sz w:val="30"/>
          <w:szCs w:val="30"/>
          <w:lang w:eastAsia="it-IT"/>
        </w:rPr>
        <w:t>” per aver la mandante Consorzio Valori espresso la volontà di recedere dal raggruppamento ai sensi dell’art. 48, comma 19, d.lgs. 18 aprile 2016, n. 50; allegava una tabella con la nuova articolazione delle quote di partecipazione delle imprese al raggruppamento in seguito al recesso della mandante.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1.3. Verificata la congruità dell’offerta, la commissione giudicatrice formulava proposta di aggiudicazione a favore del </w:t>
      </w:r>
      <w:proofErr w:type="spellStart"/>
      <w:r w:rsidRPr="00C4366E">
        <w:rPr>
          <w:rFonts w:ascii="Garamond" w:eastAsia="Times New Roman" w:hAnsi="Garamond" w:cs="Times New Roman"/>
          <w:color w:val="000000"/>
          <w:sz w:val="30"/>
          <w:szCs w:val="30"/>
          <w:lang w:eastAsia="it-IT"/>
        </w:rPr>
        <w:t>r.t.i.</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 il quale, tuttavia, con provvedimento del 27 novembre 2020, veniva escluso dalla procedura di gara.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Nel provvedimento di esclusione, il </w:t>
      </w:r>
      <w:proofErr w:type="spellStart"/>
      <w:r w:rsidRPr="00C4366E">
        <w:rPr>
          <w:rFonts w:ascii="Garamond" w:eastAsia="Times New Roman" w:hAnsi="Garamond" w:cs="Times New Roman"/>
          <w:color w:val="000000"/>
          <w:sz w:val="30"/>
          <w:szCs w:val="30"/>
          <w:lang w:eastAsia="it-IT"/>
        </w:rPr>
        <w:t>r.u.p.</w:t>
      </w:r>
      <w:proofErr w:type="spellEnd"/>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rilevato, preliminarmente, che il recesso del Consorzio Valori e la conseguente richiesta di rimodulazione del raggruppamento formulata dalla capogruppo mandataria, “</w:t>
      </w:r>
      <w:r w:rsidRPr="00C4366E">
        <w:rPr>
          <w:rFonts w:ascii="Garamond" w:eastAsia="Times New Roman" w:hAnsi="Garamond" w:cs="Times New Roman"/>
          <w:i/>
          <w:iCs/>
          <w:color w:val="000000"/>
          <w:sz w:val="30"/>
          <w:szCs w:val="30"/>
          <w:lang w:eastAsia="it-IT"/>
        </w:rPr>
        <w:t>non indica</w:t>
      </w:r>
      <w:r w:rsidRPr="00C4366E">
        <w:rPr>
          <w:rFonts w:ascii="Garamond" w:eastAsia="Times New Roman" w:hAnsi="Garamond" w:cs="Times New Roman"/>
          <w:color w:val="000000"/>
          <w:sz w:val="30"/>
          <w:szCs w:val="30"/>
          <w:lang w:eastAsia="it-IT"/>
        </w:rPr>
        <w:t>[va</w:t>
      </w:r>
      <w:r w:rsidRPr="00C4366E">
        <w:rPr>
          <w:rFonts w:ascii="Garamond" w:eastAsia="Times New Roman" w:hAnsi="Garamond" w:cs="Times New Roman"/>
          <w:i/>
          <w:iCs/>
          <w:color w:val="000000"/>
          <w:sz w:val="30"/>
          <w:szCs w:val="30"/>
          <w:lang w:eastAsia="it-IT"/>
        </w:rPr>
        <w:t xml:space="preserve">] in alcun modo quali siano le concrete e sopravvenute esigenze organizzative in ragione delle quali la mandante Valori </w:t>
      </w:r>
      <w:proofErr w:type="spellStart"/>
      <w:r w:rsidRPr="00C4366E">
        <w:rPr>
          <w:rFonts w:ascii="Garamond" w:eastAsia="Times New Roman" w:hAnsi="Garamond" w:cs="Times New Roman"/>
          <w:i/>
          <w:iCs/>
          <w:color w:val="000000"/>
          <w:sz w:val="30"/>
          <w:szCs w:val="30"/>
          <w:lang w:eastAsia="it-IT"/>
        </w:rPr>
        <w:t>intend</w:t>
      </w:r>
      <w:proofErr w:type="spellEnd"/>
      <w:r w:rsidRPr="00C4366E">
        <w:rPr>
          <w:rFonts w:ascii="Garamond" w:eastAsia="Times New Roman" w:hAnsi="Garamond" w:cs="Times New Roman"/>
          <w:i/>
          <w:iCs/>
          <w:color w:val="000000"/>
          <w:sz w:val="30"/>
          <w:szCs w:val="30"/>
          <w:lang w:eastAsia="it-IT"/>
        </w:rPr>
        <w:t>[esse] recedere dal costituendo RTI </w:t>
      </w:r>
      <w:proofErr w:type="spellStart"/>
      <w:r w:rsidRPr="00C4366E">
        <w:rPr>
          <w:rFonts w:ascii="Garamond" w:eastAsia="Times New Roman" w:hAnsi="Garamond" w:cs="Times New Roman"/>
          <w:i/>
          <w:iCs/>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lastRenderedPageBreak/>
        <w:t xml:space="preserve">- dato conto di aver, immediatamente prima della presentazione della predetta richiesta di rimodulazione del raggruppamento in seguito a recesso, adottato nei confronti del Consorzio Valori cinque risoluzioni contrattuali per grave inadempimento in fase di esecuzione di altrettanti contratti di appalto di lavori, nonché due provvedimenti di revoca dell’aggiudicazione per suo fatto colpevole, in ragione dei quali era già stata disposta l’esclusione da una procedura di gara in corso di svolgimento e la revoca di un’aggiudicazione per la causa di esclusione di cui all’art. 80, comma 5, lett. c) e </w:t>
      </w:r>
      <w:proofErr w:type="spellStart"/>
      <w:r w:rsidRPr="00C4366E">
        <w:rPr>
          <w:rFonts w:ascii="Garamond" w:eastAsia="Times New Roman" w:hAnsi="Garamond" w:cs="Times New Roman"/>
          <w:color w:val="000000"/>
          <w:sz w:val="30"/>
          <w:szCs w:val="30"/>
          <w:lang w:eastAsia="it-IT"/>
        </w:rPr>
        <w:t>c-</w:t>
      </w:r>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d.lgs. n. 50 del 2016;</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 ritenuto che il Consorzio Valori si fosse reso responsabile nei confronti di </w:t>
      </w:r>
      <w:proofErr w:type="spellStart"/>
      <w:r w:rsidRPr="00C4366E">
        <w:rPr>
          <w:rFonts w:ascii="Garamond" w:eastAsia="Times New Roman" w:hAnsi="Garamond" w:cs="Times New Roman"/>
          <w:color w:val="000000"/>
          <w:sz w:val="30"/>
          <w:szCs w:val="30"/>
          <w:lang w:eastAsia="it-IT"/>
        </w:rPr>
        <w:t>A.s.p.i.</w:t>
      </w:r>
      <w:proofErr w:type="spellEnd"/>
      <w:r w:rsidRPr="00C4366E">
        <w:rPr>
          <w:rFonts w:ascii="Garamond" w:eastAsia="Times New Roman" w:hAnsi="Garamond" w:cs="Times New Roman"/>
          <w:color w:val="000000"/>
          <w:sz w:val="30"/>
          <w:szCs w:val="30"/>
          <w:lang w:eastAsia="it-IT"/>
        </w:rPr>
        <w:t xml:space="preserve"> di “</w:t>
      </w:r>
      <w:r w:rsidRPr="00C4366E">
        <w:rPr>
          <w:rFonts w:ascii="Garamond" w:eastAsia="Times New Roman" w:hAnsi="Garamond" w:cs="Times New Roman"/>
          <w:i/>
          <w:iCs/>
          <w:color w:val="000000"/>
          <w:sz w:val="30"/>
          <w:szCs w:val="30"/>
          <w:lang w:eastAsia="it-IT"/>
        </w:rPr>
        <w:t>significative e persistenti carenze nell’esecuzione di precedenti contratti d’appalto che hanno causato la risoluzione per inadempimento contrattuale</w:t>
      </w:r>
      <w:r w:rsidRPr="00C4366E">
        <w:rPr>
          <w:rFonts w:ascii="Garamond" w:eastAsia="Times New Roman" w:hAnsi="Garamond" w:cs="Times New Roman"/>
          <w:color w:val="000000"/>
          <w:sz w:val="30"/>
          <w:szCs w:val="30"/>
          <w:lang w:eastAsia="it-IT"/>
        </w:rPr>
        <w:t xml:space="preserve">” rilevanti come causa di esclusione ai sensi dell’art. 80, comma 5, lett. </w:t>
      </w:r>
      <w:proofErr w:type="spellStart"/>
      <w:r w:rsidRPr="00C4366E">
        <w:rPr>
          <w:rFonts w:ascii="Garamond" w:eastAsia="Times New Roman" w:hAnsi="Garamond" w:cs="Times New Roman"/>
          <w:color w:val="000000"/>
          <w:sz w:val="30"/>
          <w:szCs w:val="30"/>
          <w:lang w:eastAsia="it-IT"/>
        </w:rPr>
        <w:t>c-</w:t>
      </w:r>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del codice dei contratti pubblici, come pure di condotte qualificabili come “</w:t>
      </w:r>
      <w:r w:rsidRPr="00C4366E">
        <w:rPr>
          <w:rFonts w:ascii="Garamond" w:eastAsia="Times New Roman" w:hAnsi="Garamond" w:cs="Times New Roman"/>
          <w:i/>
          <w:iCs/>
          <w:color w:val="000000"/>
          <w:sz w:val="30"/>
          <w:szCs w:val="30"/>
          <w:lang w:eastAsia="it-IT"/>
        </w:rPr>
        <w:t>gravi illeciti professionali</w:t>
      </w:r>
      <w:r w:rsidRPr="00C4366E">
        <w:rPr>
          <w:rFonts w:ascii="Garamond" w:eastAsia="Times New Roman" w:hAnsi="Garamond" w:cs="Times New Roman"/>
          <w:color w:val="000000"/>
          <w:sz w:val="30"/>
          <w:szCs w:val="30"/>
          <w:lang w:eastAsia="it-IT"/>
        </w:rPr>
        <w:t>” di cui all’art. 80, comma 5, lett. c) del codice “</w:t>
      </w:r>
      <w:r w:rsidRPr="00C4366E">
        <w:rPr>
          <w:rFonts w:ascii="Garamond" w:eastAsia="Times New Roman" w:hAnsi="Garamond" w:cs="Times New Roman"/>
          <w:i/>
          <w:iCs/>
          <w:color w:val="000000"/>
          <w:sz w:val="30"/>
          <w:szCs w:val="30"/>
          <w:lang w:eastAsia="it-IT"/>
        </w:rPr>
        <w:t>tali da rendere dubbia l’integrità e l’affidabilità</w:t>
      </w:r>
      <w:r w:rsidRPr="00C4366E">
        <w:rPr>
          <w:rFonts w:ascii="Garamond" w:eastAsia="Times New Roman" w:hAnsi="Garamond" w:cs="Times New Roman"/>
          <w:color w:val="000000"/>
          <w:sz w:val="30"/>
          <w:szCs w:val="30"/>
          <w:lang w:eastAsia="it-IT"/>
        </w:rPr>
        <w:t>”, per essere gli inadempimenti “</w:t>
      </w:r>
      <w:r w:rsidRPr="00C4366E">
        <w:rPr>
          <w:rFonts w:ascii="Garamond" w:eastAsia="Times New Roman" w:hAnsi="Garamond" w:cs="Times New Roman"/>
          <w:i/>
          <w:iCs/>
          <w:color w:val="000000"/>
          <w:sz w:val="30"/>
          <w:szCs w:val="30"/>
          <w:lang w:eastAsia="it-IT"/>
        </w:rPr>
        <w:t>numerosi, ravvicinati nel tempo e coevi allo svolgimento della procedura di gara in oggetto</w:t>
      </w:r>
      <w:r w:rsidRPr="00C4366E">
        <w:rPr>
          <w:rFonts w:ascii="Garamond" w:eastAsia="Times New Roman" w:hAnsi="Garamond" w:cs="Times New Roman"/>
          <w:color w:val="000000"/>
          <w:sz w:val="30"/>
          <w:szCs w:val="30"/>
          <w:lang w:eastAsia="it-IT"/>
        </w:rPr>
        <w:t>”;</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rigettava la richiesta di autorizzazione alla modifica soggettiva del raggruppamento in riduzione ai sensi dell’art. 48, comma 19, del codice per mancata esplicitazione delle esigenze organizzative che legittimavano la richiesta di recesso del Consorzio Valori dal raggruppamento e, comunque, considerato il breve lasso di tempo trascorso tra i provvedimenti di risoluzione e di revoca e la comunicazione di recesso, per essere detta richiesta (da ritenersi) “</w:t>
      </w:r>
      <w:r w:rsidRPr="00C4366E">
        <w:rPr>
          <w:rFonts w:ascii="Garamond" w:eastAsia="Times New Roman" w:hAnsi="Garamond" w:cs="Times New Roman"/>
          <w:i/>
          <w:iCs/>
          <w:color w:val="000000"/>
          <w:sz w:val="30"/>
          <w:szCs w:val="30"/>
          <w:lang w:eastAsia="it-IT"/>
        </w:rPr>
        <w:t>finalizzata ad eludere la perdita di un requisito di partecipazione alla gara da parte della mandante Valori</w:t>
      </w:r>
      <w:r w:rsidRPr="00C4366E">
        <w:rPr>
          <w:rFonts w:ascii="Garamond" w:eastAsia="Times New Roman" w:hAnsi="Garamond" w:cs="Times New Roman"/>
          <w:color w:val="000000"/>
          <w:sz w:val="30"/>
          <w:szCs w:val="30"/>
          <w:lang w:eastAsia="it-IT"/>
        </w:rPr>
        <w:t>” in quanto incorsa nelle cause di esclusione di cui all’art. 80, comma 5, lett. c) e c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d.lgs. n. 50 del 2016;</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lastRenderedPageBreak/>
        <w:t xml:space="preserve">- disponeva l’esclusione dalla procedura di gara del </w:t>
      </w:r>
      <w:proofErr w:type="spellStart"/>
      <w:r w:rsidRPr="00C4366E">
        <w:rPr>
          <w:rFonts w:ascii="Garamond" w:eastAsia="Times New Roman" w:hAnsi="Garamond" w:cs="Times New Roman"/>
          <w:color w:val="000000"/>
          <w:sz w:val="30"/>
          <w:szCs w:val="30"/>
          <w:lang w:eastAsia="it-IT"/>
        </w:rPr>
        <w:t>r.t.i.</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 per mancanza dei requisiti di cui all’art. 80, comma 5, lett. c) e c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d.lgs. n. 50 del 2016 in capo alla mandante Valori.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2. Con ricorso al Tribunale amministrativo regionale per la Toscana, integrato da motivi aggiunti, il Consorzio Stabile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s.c.p.a.</w:t>
      </w:r>
      <w:proofErr w:type="spellEnd"/>
      <w:r w:rsidRPr="00C4366E">
        <w:rPr>
          <w:rFonts w:ascii="Garamond" w:eastAsia="Times New Roman" w:hAnsi="Garamond" w:cs="Times New Roman"/>
          <w:color w:val="000000"/>
          <w:sz w:val="30"/>
          <w:szCs w:val="30"/>
          <w:lang w:eastAsia="it-IT"/>
        </w:rPr>
        <w:t xml:space="preserve"> impugnava il provvedimento di esclusione dalla procedura nonché il successivo provvedimento del 7 dicembre 2020 con il quale la procedura di gara era stata aggiudicata al secondo graduato, il </w:t>
      </w:r>
      <w:proofErr w:type="spellStart"/>
      <w:r w:rsidRPr="00C4366E">
        <w:rPr>
          <w:rFonts w:ascii="Garamond" w:eastAsia="Times New Roman" w:hAnsi="Garamond" w:cs="Times New Roman"/>
          <w:color w:val="000000"/>
          <w:sz w:val="30"/>
          <w:szCs w:val="30"/>
          <w:lang w:eastAsia="it-IT"/>
        </w:rPr>
        <w:t>r.t.i.</w:t>
      </w:r>
      <w:proofErr w:type="spellEnd"/>
      <w:r w:rsidRPr="00C4366E">
        <w:rPr>
          <w:rFonts w:ascii="Garamond" w:eastAsia="Times New Roman" w:hAnsi="Garamond" w:cs="Times New Roman"/>
          <w:color w:val="000000"/>
          <w:sz w:val="30"/>
          <w:szCs w:val="30"/>
          <w:lang w:eastAsia="it-IT"/>
        </w:rPr>
        <w:t xml:space="preserve"> </w:t>
      </w:r>
      <w:proofErr w:type="spellStart"/>
      <w:r w:rsidRPr="00C4366E">
        <w:rPr>
          <w:rFonts w:ascii="Garamond" w:eastAsia="Times New Roman" w:hAnsi="Garamond" w:cs="Times New Roman"/>
          <w:color w:val="000000"/>
          <w:sz w:val="30"/>
          <w:szCs w:val="30"/>
          <w:lang w:eastAsia="it-IT"/>
        </w:rPr>
        <w:t>C.M.B</w:t>
      </w:r>
      <w:proofErr w:type="spellEnd"/>
      <w:r w:rsidRPr="00C4366E">
        <w:rPr>
          <w:rFonts w:ascii="Garamond" w:eastAsia="Times New Roman" w:hAnsi="Garamond" w:cs="Times New Roman"/>
          <w:color w:val="000000"/>
          <w:sz w:val="30"/>
          <w:szCs w:val="30"/>
          <w:lang w:eastAsia="it-IT"/>
        </w:rPr>
        <w:t>..</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Il ricorso era articolato sostanzialmente in tre censure: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a) violazione di legge: la stazione appaltante aveva violato il combinato disposto dell’art. 48, commi 17, 18, 19, 19 – </w:t>
      </w:r>
      <w:r w:rsidRPr="00C4366E">
        <w:rPr>
          <w:rFonts w:ascii="Garamond" w:eastAsia="Times New Roman" w:hAnsi="Garamond" w:cs="Times New Roman"/>
          <w:i/>
          <w:iCs/>
          <w:color w:val="000000"/>
          <w:sz w:val="30"/>
          <w:szCs w:val="30"/>
          <w:lang w:eastAsia="it-IT"/>
        </w:rPr>
        <w:t>bis</w:t>
      </w:r>
      <w:r w:rsidRPr="00C4366E">
        <w:rPr>
          <w:rFonts w:ascii="Garamond" w:eastAsia="Times New Roman" w:hAnsi="Garamond" w:cs="Times New Roman"/>
          <w:color w:val="000000"/>
          <w:sz w:val="30"/>
          <w:szCs w:val="30"/>
          <w:lang w:eastAsia="it-IT"/>
        </w:rPr>
        <w:t> e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da leggersi nel senso che la modifica soggettiva del raggruppamento per perdita dei requisiti di partecipazione di cui all’art. 80 del codice dei contratti pubblici da parte del mandatario ovvero di uno dei mandanti non determina l’esclusione del raggruppamento dalla procedura anche se si verifica in fase di gara (oltre che nella fase di esecuzione del contratto);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b) vizi procedurali: la stazione appaltante aveva disposto la sua esclusione senza comunicargli l’avvio del procedimento e, dunque, senza consentirgli di poter partecipare e interloquire sulle supposte ragioni di inaffidabilità e, così, in violazione dell’art. 3 l. n. 241 del 1990;</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c) eccesso di potere: le pregresse vicende professionali che avevano portato al giudizio di inaffidabilità nei suoi confronti erano state ricostruite in maniera inesatta, per cui la decisione di escluderla si fondava su di una motivazione </w:t>
      </w:r>
      <w:proofErr w:type="spellStart"/>
      <w:r w:rsidRPr="00C4366E">
        <w:rPr>
          <w:rFonts w:ascii="Garamond" w:eastAsia="Times New Roman" w:hAnsi="Garamond" w:cs="Times New Roman"/>
          <w:color w:val="000000"/>
          <w:sz w:val="30"/>
          <w:szCs w:val="30"/>
          <w:lang w:eastAsia="it-IT"/>
        </w:rPr>
        <w:t>inveritiera</w:t>
      </w:r>
      <w:proofErr w:type="spellEnd"/>
      <w:r w:rsidRPr="00C4366E">
        <w:rPr>
          <w:rFonts w:ascii="Garamond" w:eastAsia="Times New Roman" w:hAnsi="Garamond" w:cs="Times New Roman"/>
          <w:color w:val="000000"/>
          <w:sz w:val="30"/>
          <w:szCs w:val="30"/>
          <w:lang w:eastAsia="it-IT"/>
        </w:rPr>
        <w:t xml:space="preserve">, illogica, irragionevole ed era conseguenza di un grave difetto di apprezzamento e di macroscopico sviamento (in gran parte dei casi, si era pervenuti alla risoluzione del contratto non per suoi inadempimenti ma per la condotta della stazione appaltante e le due revoche erano dovute alla negazione del </w:t>
      </w:r>
      <w:r w:rsidRPr="00C4366E">
        <w:rPr>
          <w:rFonts w:ascii="Garamond" w:eastAsia="Times New Roman" w:hAnsi="Garamond" w:cs="Times New Roman"/>
          <w:color w:val="000000"/>
          <w:sz w:val="30"/>
          <w:szCs w:val="30"/>
          <w:lang w:eastAsia="it-IT"/>
        </w:rPr>
        <w:lastRenderedPageBreak/>
        <w:t>legittimo esercizio della sua facoltà di sciogliersi dal vincolo derivante dall’aggiudicazione).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Si costituivano in giudizio </w:t>
      </w:r>
      <w:proofErr w:type="spellStart"/>
      <w:r w:rsidRPr="00C4366E">
        <w:rPr>
          <w:rFonts w:ascii="Garamond" w:eastAsia="Times New Roman" w:hAnsi="Garamond" w:cs="Times New Roman"/>
          <w:color w:val="000000"/>
          <w:sz w:val="30"/>
          <w:szCs w:val="30"/>
          <w:lang w:eastAsia="it-IT"/>
        </w:rPr>
        <w:t>A.s.p.i.</w:t>
      </w:r>
      <w:proofErr w:type="spellEnd"/>
      <w:r w:rsidRPr="00C4366E">
        <w:rPr>
          <w:rFonts w:ascii="Garamond" w:eastAsia="Times New Roman" w:hAnsi="Garamond" w:cs="Times New Roman"/>
          <w:color w:val="000000"/>
          <w:sz w:val="30"/>
          <w:szCs w:val="30"/>
          <w:lang w:eastAsia="it-IT"/>
        </w:rPr>
        <w:t xml:space="preserve"> e </w:t>
      </w:r>
      <w:proofErr w:type="spellStart"/>
      <w:r w:rsidRPr="00C4366E">
        <w:rPr>
          <w:rFonts w:ascii="Garamond" w:eastAsia="Times New Roman" w:hAnsi="Garamond" w:cs="Times New Roman"/>
          <w:color w:val="000000"/>
          <w:sz w:val="30"/>
          <w:szCs w:val="30"/>
          <w:lang w:eastAsia="it-IT"/>
        </w:rPr>
        <w:t>C.M.B.</w:t>
      </w:r>
      <w:proofErr w:type="spellEnd"/>
      <w:r w:rsidRPr="00C4366E">
        <w:rPr>
          <w:rFonts w:ascii="Garamond" w:eastAsia="Times New Roman" w:hAnsi="Garamond" w:cs="Times New Roman"/>
          <w:color w:val="000000"/>
          <w:sz w:val="30"/>
          <w:szCs w:val="30"/>
          <w:lang w:eastAsia="it-IT"/>
        </w:rPr>
        <w:t xml:space="preserve"> soc. coop.; quest’ultima proponeva ricorso incidentale con il quale contestava la valutazione di congruità dell’offerta del </w:t>
      </w:r>
      <w:proofErr w:type="spellStart"/>
      <w:r w:rsidRPr="00C4366E">
        <w:rPr>
          <w:rFonts w:ascii="Garamond" w:eastAsia="Times New Roman" w:hAnsi="Garamond" w:cs="Times New Roman"/>
          <w:color w:val="000000"/>
          <w:sz w:val="30"/>
          <w:szCs w:val="30"/>
          <w:lang w:eastAsia="it-IT"/>
        </w:rPr>
        <w:t>r.t.i.</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2.1. Il tribunale, con la sentenza della sezione seconda, 10 febbraio 2021, n. 217, accoglieva il ricorso e i motivi aggiunti dicendo preferibile la lettura proposta dalla ricorrente delle disposizioni citate nel primo motivo di ricorso nel senso che sia consentita la modifica soggettiva del raggruppamento anche in corso di gara qualora uno dei componenti incorra nella perdita dei requisiti di partecipazione ex art. 80, in quanto: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a) maggiormente aderente al testo delle norme: i commi 17, 18 e 19 hanno ad oggetto sopravvenienze nella fase di esecuzione del contratto, e tra queste è indicata anche la perdita dei requisiti di cui all’art. 80, il comma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richiamando quei commi nel loro complesso, senza operare alcuna differenziazione, ne estende l’intera disciplina alla fase di gara, ivi compresa, dunque, la possibilità dell’insorgenza della causa di esclusione di cui all’art. 80, comma 5, del codice;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b) coerente con la </w:t>
      </w:r>
      <w:proofErr w:type="spellStart"/>
      <w:r w:rsidRPr="00C4366E">
        <w:rPr>
          <w:rFonts w:ascii="Garamond" w:eastAsia="Times New Roman" w:hAnsi="Garamond" w:cs="Times New Roman"/>
          <w:i/>
          <w:iCs/>
          <w:color w:val="000000"/>
          <w:sz w:val="30"/>
          <w:szCs w:val="30"/>
          <w:lang w:eastAsia="it-IT"/>
        </w:rPr>
        <w:t>ratio</w:t>
      </w:r>
      <w:proofErr w:type="spellEnd"/>
      <w:r w:rsidRPr="00C4366E">
        <w:rPr>
          <w:rFonts w:ascii="Garamond" w:eastAsia="Times New Roman" w:hAnsi="Garamond" w:cs="Times New Roman"/>
          <w:color w:val="000000"/>
          <w:sz w:val="30"/>
          <w:szCs w:val="30"/>
          <w:lang w:eastAsia="it-IT"/>
        </w:rPr>
        <w:t> della novella legislativa che aveva introdotto il comma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xml:space="preserve">) all’interno dell’art. 48 del codice dei contratti pubblici con l’intento di derogare al principio di </w:t>
      </w:r>
      <w:proofErr w:type="spellStart"/>
      <w:r w:rsidRPr="00C4366E">
        <w:rPr>
          <w:rFonts w:ascii="Garamond" w:eastAsia="Times New Roman" w:hAnsi="Garamond" w:cs="Times New Roman"/>
          <w:color w:val="000000"/>
          <w:sz w:val="30"/>
          <w:szCs w:val="30"/>
          <w:lang w:eastAsia="it-IT"/>
        </w:rPr>
        <w:t>immodificabilità</w:t>
      </w:r>
      <w:proofErr w:type="spellEnd"/>
      <w:r w:rsidRPr="00C4366E">
        <w:rPr>
          <w:rFonts w:ascii="Garamond" w:eastAsia="Times New Roman" w:hAnsi="Garamond" w:cs="Times New Roman"/>
          <w:color w:val="000000"/>
          <w:sz w:val="30"/>
          <w:szCs w:val="30"/>
          <w:lang w:eastAsia="it-IT"/>
        </w:rPr>
        <w:t xml:space="preserve"> alla composizione del raggruppamento per evitare che un intero raggruppamento fosse escluso dalla gara a causa di eventi sopraggiunti comportanti la perdita dei requisiti di ordine generale da parte di un’impresa componente e, così, garantire la partecipazione degli operatori “sani” costituti in raggruppamento, salvaguardando al contempo l’interesse pubblico della stazione appaltante a non perdere offerte utili;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lastRenderedPageBreak/>
        <w:t>c) risultava rispettata la condizione per la quale la modifica soggettiva non deve perseguire finalità elusive della mancanza di un requisito di partecipazione; il che impone che si possa acconsentirvi solo in caso di “perdita” sopravvenuta di un requisito già sussistente alla data della domanda di partecipazione e non anche nel caso di “mancanza” originaria dello stesso;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d) supportata dall’interpretazione logica e costituzionalmente orientata: tutte le vicende sopravvenute previste dai commi 17 e 18, per le quali è consentita la modifica soggettiva del raggruppamento in fase di gara, sono altrettanti casi di perdita di requisiti di ordine generale, tutti ugualmente richiesti dall’art. 80 per la partecipazione, onde sarebbe contrario ai principi di ragionevolezza, uguaglianza, proporzionalità e logicità prevedere conseguenze diverse (l’esclusione dalla gara a fronte della permanenza in gara) a seconda che l’impresa raggruppata sia interessata da una procedura fallimentare o raggiunta da una </w:t>
      </w:r>
      <w:proofErr w:type="spellStart"/>
      <w:r w:rsidRPr="00C4366E">
        <w:rPr>
          <w:rFonts w:ascii="Garamond" w:eastAsia="Times New Roman" w:hAnsi="Garamond" w:cs="Times New Roman"/>
          <w:color w:val="000000"/>
          <w:sz w:val="30"/>
          <w:szCs w:val="30"/>
          <w:lang w:eastAsia="it-IT"/>
        </w:rPr>
        <w:t>interdittiva</w:t>
      </w:r>
      <w:proofErr w:type="spellEnd"/>
      <w:r w:rsidRPr="00C4366E">
        <w:rPr>
          <w:rFonts w:ascii="Garamond" w:eastAsia="Times New Roman" w:hAnsi="Garamond" w:cs="Times New Roman"/>
          <w:color w:val="000000"/>
          <w:sz w:val="30"/>
          <w:szCs w:val="30"/>
          <w:lang w:eastAsia="it-IT"/>
        </w:rPr>
        <w:t xml:space="preserve"> antimafia ovvero sia interessata, ad esempio, dalla sopravvenienza di un DURC negativo o di un accertamento sull’avvenuta commissione di un grave illecito professionale, senza che sia possibile, per dar giustificazione, distinguere tra una maggiore imputabilità soggettiva di un evento rispetto ad un altro, visto che in materia di appalti le cause di esclusione assumono rilievo a livello oggettivo a prescindere dall’atteggiamento psicologico del concorrente;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e) di più facile applicazione a livello pratico, per consentire la continuazione della procedura con il medesimo raggruppamento partecipazione sia pure in diversa composizione.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Per le esposte ragioni il Tar concludeva nel senso che </w:t>
      </w:r>
      <w:proofErr w:type="spellStart"/>
      <w:r w:rsidRPr="00C4366E">
        <w:rPr>
          <w:rFonts w:ascii="Garamond" w:eastAsia="Times New Roman" w:hAnsi="Garamond" w:cs="Times New Roman"/>
          <w:color w:val="000000"/>
          <w:sz w:val="30"/>
          <w:szCs w:val="30"/>
          <w:lang w:eastAsia="it-IT"/>
        </w:rPr>
        <w:t>A.s.p.i.</w:t>
      </w:r>
      <w:proofErr w:type="spellEnd"/>
      <w:r w:rsidRPr="00C4366E">
        <w:rPr>
          <w:rFonts w:ascii="Garamond" w:eastAsia="Times New Roman" w:hAnsi="Garamond" w:cs="Times New Roman"/>
          <w:color w:val="000000"/>
          <w:sz w:val="30"/>
          <w:szCs w:val="30"/>
          <w:lang w:eastAsia="it-IT"/>
        </w:rPr>
        <w:t xml:space="preserve"> avrebbe dovuto consentire la rimodulazione del raggruppamento previa apertura di un dialogo procedimentale.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Il ricorso incidentale di </w:t>
      </w:r>
      <w:proofErr w:type="spellStart"/>
      <w:r w:rsidRPr="00C4366E">
        <w:rPr>
          <w:rFonts w:ascii="Garamond" w:eastAsia="Times New Roman" w:hAnsi="Garamond" w:cs="Times New Roman"/>
          <w:color w:val="000000"/>
          <w:sz w:val="30"/>
          <w:szCs w:val="30"/>
          <w:lang w:eastAsia="it-IT"/>
        </w:rPr>
        <w:t>C.M.B.</w:t>
      </w:r>
      <w:proofErr w:type="spellEnd"/>
      <w:r w:rsidRPr="00C4366E">
        <w:rPr>
          <w:rFonts w:ascii="Garamond" w:eastAsia="Times New Roman" w:hAnsi="Garamond" w:cs="Times New Roman"/>
          <w:color w:val="000000"/>
          <w:sz w:val="30"/>
          <w:szCs w:val="30"/>
          <w:lang w:eastAsia="it-IT"/>
        </w:rPr>
        <w:t xml:space="preserve"> era dichiarato inammissibile e comunque infondato </w:t>
      </w:r>
      <w:proofErr w:type="spellStart"/>
      <w:r w:rsidRPr="00C4366E">
        <w:rPr>
          <w:rFonts w:ascii="Garamond" w:eastAsia="Times New Roman" w:hAnsi="Garamond" w:cs="Times New Roman"/>
          <w:color w:val="000000"/>
          <w:sz w:val="30"/>
          <w:szCs w:val="30"/>
          <w:lang w:eastAsia="it-IT"/>
        </w:rPr>
        <w:t>poichè</w:t>
      </w:r>
      <w:proofErr w:type="spellEnd"/>
      <w:r w:rsidRPr="00C4366E">
        <w:rPr>
          <w:rFonts w:ascii="Garamond" w:eastAsia="Times New Roman" w:hAnsi="Garamond" w:cs="Times New Roman"/>
          <w:color w:val="000000"/>
          <w:sz w:val="30"/>
          <w:szCs w:val="30"/>
          <w:lang w:eastAsia="it-IT"/>
        </w:rPr>
        <w:t xml:space="preserve"> articolato in censure generiche e parziali a fronte della relazione del </w:t>
      </w:r>
      <w:proofErr w:type="spellStart"/>
      <w:r w:rsidRPr="00C4366E">
        <w:rPr>
          <w:rFonts w:ascii="Garamond" w:eastAsia="Times New Roman" w:hAnsi="Garamond" w:cs="Times New Roman"/>
          <w:color w:val="000000"/>
          <w:sz w:val="30"/>
          <w:szCs w:val="30"/>
          <w:lang w:eastAsia="it-IT"/>
        </w:rPr>
        <w:t>r.u.p.</w:t>
      </w:r>
      <w:proofErr w:type="spellEnd"/>
      <w:r w:rsidRPr="00C4366E">
        <w:rPr>
          <w:rFonts w:ascii="Garamond" w:eastAsia="Times New Roman" w:hAnsi="Garamond" w:cs="Times New Roman"/>
          <w:color w:val="000000"/>
          <w:sz w:val="30"/>
          <w:szCs w:val="30"/>
          <w:lang w:eastAsia="it-IT"/>
        </w:rPr>
        <w:t xml:space="preserve"> </w:t>
      </w:r>
      <w:r w:rsidRPr="00C4366E">
        <w:rPr>
          <w:rFonts w:ascii="Garamond" w:eastAsia="Times New Roman" w:hAnsi="Garamond" w:cs="Times New Roman"/>
          <w:color w:val="000000"/>
          <w:sz w:val="30"/>
          <w:szCs w:val="30"/>
          <w:lang w:eastAsia="it-IT"/>
        </w:rPr>
        <w:lastRenderedPageBreak/>
        <w:t>che appariva puntuale e completa avendo questi scrupolosamente ed analiticamente analizzato la documentazione giustificativa voce per voce e, pur avendo effettivamente rilevato delle sottostime, aveva poi a conclusione della sua analisi ritenuto sostenibile l’offerta economica nel suo complesso, per la presenza di economie e di un margine di utile avente capienza sufficiente ad assorbine i maggiori costi rilevati.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3. Ha proposto appello </w:t>
      </w:r>
      <w:proofErr w:type="spellStart"/>
      <w:r w:rsidRPr="00C4366E">
        <w:rPr>
          <w:rFonts w:ascii="Garamond" w:eastAsia="Times New Roman" w:hAnsi="Garamond" w:cs="Times New Roman"/>
          <w:color w:val="000000"/>
          <w:sz w:val="30"/>
          <w:szCs w:val="30"/>
          <w:lang w:eastAsia="it-IT"/>
        </w:rPr>
        <w:t>C.M.B.</w:t>
      </w:r>
      <w:proofErr w:type="spellEnd"/>
      <w:r w:rsidRPr="00C4366E">
        <w:rPr>
          <w:rFonts w:ascii="Garamond" w:eastAsia="Times New Roman" w:hAnsi="Garamond" w:cs="Times New Roman"/>
          <w:color w:val="000000"/>
          <w:sz w:val="30"/>
          <w:szCs w:val="30"/>
          <w:lang w:eastAsia="it-IT"/>
        </w:rPr>
        <w:t xml:space="preserve"> Società Cooperativa Muratori e Braccianti di Carpi nella qualità indicata in epigrafe; si sono costituite </w:t>
      </w:r>
      <w:proofErr w:type="spellStart"/>
      <w:r w:rsidRPr="00C4366E">
        <w:rPr>
          <w:rFonts w:ascii="Garamond" w:eastAsia="Times New Roman" w:hAnsi="Garamond" w:cs="Times New Roman"/>
          <w:color w:val="000000"/>
          <w:sz w:val="30"/>
          <w:szCs w:val="30"/>
          <w:lang w:eastAsia="it-IT"/>
        </w:rPr>
        <w:t>A.s.p.i.</w:t>
      </w:r>
      <w:proofErr w:type="spellEnd"/>
      <w:r w:rsidRPr="00C4366E">
        <w:rPr>
          <w:rFonts w:ascii="Garamond" w:eastAsia="Times New Roman" w:hAnsi="Garamond" w:cs="Times New Roman"/>
          <w:color w:val="000000"/>
          <w:sz w:val="30"/>
          <w:szCs w:val="30"/>
          <w:lang w:eastAsia="it-IT"/>
        </w:rPr>
        <w:t xml:space="preserve"> e il Consorzio Stabile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s.c.p.a.</w:t>
      </w:r>
      <w:proofErr w:type="spellEnd"/>
      <w:r w:rsidRPr="00C4366E">
        <w:rPr>
          <w:rFonts w:ascii="Garamond" w:eastAsia="Times New Roman" w:hAnsi="Garamond" w:cs="Times New Roman"/>
          <w:color w:val="000000"/>
          <w:sz w:val="30"/>
          <w:szCs w:val="30"/>
          <w:lang w:eastAsia="it-IT"/>
        </w:rPr>
        <w:t xml:space="preserve"> nella qualità indicata in epigrafe.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E’ intervenuto in giudizio Valori </w:t>
      </w:r>
      <w:proofErr w:type="spellStart"/>
      <w:r w:rsidRPr="00C4366E">
        <w:rPr>
          <w:rFonts w:ascii="Garamond" w:eastAsia="Times New Roman" w:hAnsi="Garamond" w:cs="Times New Roman"/>
          <w:color w:val="000000"/>
          <w:sz w:val="30"/>
          <w:szCs w:val="30"/>
          <w:lang w:eastAsia="it-IT"/>
        </w:rPr>
        <w:t>s.c.a</w:t>
      </w:r>
      <w:proofErr w:type="spellEnd"/>
      <w:r w:rsidRPr="00C4366E">
        <w:rPr>
          <w:rFonts w:ascii="Garamond" w:eastAsia="Times New Roman" w:hAnsi="Garamond" w:cs="Times New Roman"/>
          <w:color w:val="000000"/>
          <w:sz w:val="30"/>
          <w:szCs w:val="30"/>
          <w:lang w:eastAsia="it-IT"/>
        </w:rPr>
        <w:t xml:space="preserve"> </w:t>
      </w:r>
      <w:proofErr w:type="spellStart"/>
      <w:r w:rsidRPr="00C4366E">
        <w:rPr>
          <w:rFonts w:ascii="Garamond" w:eastAsia="Times New Roman" w:hAnsi="Garamond" w:cs="Times New Roman"/>
          <w:color w:val="000000"/>
          <w:sz w:val="30"/>
          <w:szCs w:val="30"/>
          <w:lang w:eastAsia="it-IT"/>
        </w:rPr>
        <w:t>r.l.</w:t>
      </w:r>
      <w:proofErr w:type="spellEnd"/>
      <w:r w:rsidRPr="00C4366E">
        <w:rPr>
          <w:rFonts w:ascii="Garamond" w:eastAsia="Times New Roman" w:hAnsi="Garamond" w:cs="Times New Roman"/>
          <w:color w:val="000000"/>
          <w:sz w:val="30"/>
          <w:szCs w:val="30"/>
          <w:lang w:eastAsia="it-IT"/>
        </w:rPr>
        <w:t xml:space="preserve"> Consorzio stabile che ha concluso per la reiezione dell’appello.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Con ordinanza del 14 maggio 2021, n. 2583 è stata accolta l’istanza di sospensione degli effetti della sentenza proposta dall’appellante.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In vista dell’udienza pubblica le parti hanno depositato memorie ex art. 73, comma 1, cod. proc. </w:t>
      </w:r>
      <w:proofErr w:type="spellStart"/>
      <w:r w:rsidRPr="00C4366E">
        <w:rPr>
          <w:rFonts w:ascii="Garamond" w:eastAsia="Times New Roman" w:hAnsi="Garamond" w:cs="Times New Roman"/>
          <w:color w:val="000000"/>
          <w:sz w:val="30"/>
          <w:szCs w:val="30"/>
          <w:lang w:eastAsia="it-IT"/>
        </w:rPr>
        <w:t>amm</w:t>
      </w:r>
      <w:proofErr w:type="spellEnd"/>
      <w:r w:rsidRPr="00C4366E">
        <w:rPr>
          <w:rFonts w:ascii="Garamond" w:eastAsia="Times New Roman" w:hAnsi="Garamond" w:cs="Times New Roman"/>
          <w:color w:val="000000"/>
          <w:sz w:val="30"/>
          <w:szCs w:val="30"/>
          <w:lang w:eastAsia="it-IT"/>
        </w:rPr>
        <w:t>., cui sono seguite rituali repliche.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All’udienza del 23 settembre 2021 la causa è stata trattenuta in decisione.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II. </w:t>
      </w:r>
      <w:r w:rsidRPr="00C4366E">
        <w:rPr>
          <w:rFonts w:ascii="Garamond" w:eastAsia="Times New Roman" w:hAnsi="Garamond" w:cs="Times New Roman"/>
          <w:i/>
          <w:iCs/>
          <w:color w:val="000000"/>
          <w:sz w:val="30"/>
          <w:szCs w:val="30"/>
          <w:lang w:eastAsia="it-IT"/>
        </w:rPr>
        <w:t xml:space="preserve">L’appello di </w:t>
      </w:r>
      <w:proofErr w:type="spellStart"/>
      <w:r w:rsidRPr="00C4366E">
        <w:rPr>
          <w:rFonts w:ascii="Garamond" w:eastAsia="Times New Roman" w:hAnsi="Garamond" w:cs="Times New Roman"/>
          <w:i/>
          <w:iCs/>
          <w:color w:val="000000"/>
          <w:sz w:val="30"/>
          <w:szCs w:val="30"/>
          <w:lang w:eastAsia="it-IT"/>
        </w:rPr>
        <w:t>C.M.B</w:t>
      </w:r>
      <w:proofErr w:type="spellEnd"/>
      <w:r w:rsidRPr="00C4366E">
        <w:rPr>
          <w:rFonts w:ascii="Garamond" w:eastAsia="Times New Roman" w:hAnsi="Garamond" w:cs="Times New Roman"/>
          <w:color w:val="000000"/>
          <w:sz w:val="30"/>
          <w:szCs w:val="30"/>
          <w:lang w:eastAsia="it-IT"/>
        </w:rPr>
        <w:t>..</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4. Il primo motivo dell’appello proposto da </w:t>
      </w:r>
      <w:proofErr w:type="spellStart"/>
      <w:r w:rsidRPr="00C4366E">
        <w:rPr>
          <w:rFonts w:ascii="Garamond" w:eastAsia="Times New Roman" w:hAnsi="Garamond" w:cs="Times New Roman"/>
          <w:color w:val="000000"/>
          <w:sz w:val="30"/>
          <w:szCs w:val="30"/>
          <w:lang w:eastAsia="it-IT"/>
        </w:rPr>
        <w:t>C.M.B.</w:t>
      </w:r>
      <w:proofErr w:type="spellEnd"/>
      <w:r w:rsidRPr="00C4366E">
        <w:rPr>
          <w:rFonts w:ascii="Garamond" w:eastAsia="Times New Roman" w:hAnsi="Garamond" w:cs="Times New Roman"/>
          <w:color w:val="000000"/>
          <w:sz w:val="30"/>
          <w:szCs w:val="30"/>
          <w:lang w:eastAsia="it-IT"/>
        </w:rPr>
        <w:t xml:space="preserve"> (con il secondo contesta il rigetto del ricorso incidentale) è diretto a censurare la sentenza di primo grado per “</w:t>
      </w:r>
      <w:proofErr w:type="spellStart"/>
      <w:r w:rsidRPr="00C4366E">
        <w:rPr>
          <w:rFonts w:ascii="Garamond" w:eastAsia="Times New Roman" w:hAnsi="Garamond" w:cs="Times New Roman"/>
          <w:i/>
          <w:iCs/>
          <w:color w:val="000000"/>
          <w:sz w:val="30"/>
          <w:szCs w:val="30"/>
          <w:lang w:eastAsia="it-IT"/>
        </w:rPr>
        <w:t>Error</w:t>
      </w:r>
      <w:proofErr w:type="spellEnd"/>
      <w:r w:rsidRPr="00C4366E">
        <w:rPr>
          <w:rFonts w:ascii="Garamond" w:eastAsia="Times New Roman" w:hAnsi="Garamond" w:cs="Times New Roman"/>
          <w:i/>
          <w:iCs/>
          <w:color w:val="000000"/>
          <w:sz w:val="30"/>
          <w:szCs w:val="30"/>
          <w:lang w:eastAsia="it-IT"/>
        </w:rPr>
        <w:t xml:space="preserve"> in </w:t>
      </w:r>
      <w:proofErr w:type="spellStart"/>
      <w:r w:rsidRPr="00C4366E">
        <w:rPr>
          <w:rFonts w:ascii="Garamond" w:eastAsia="Times New Roman" w:hAnsi="Garamond" w:cs="Times New Roman"/>
          <w:i/>
          <w:iCs/>
          <w:color w:val="000000"/>
          <w:sz w:val="30"/>
          <w:szCs w:val="30"/>
          <w:lang w:eastAsia="it-IT"/>
        </w:rPr>
        <w:t>iudicando</w:t>
      </w:r>
      <w:proofErr w:type="spellEnd"/>
      <w:r w:rsidRPr="00C4366E">
        <w:rPr>
          <w:rFonts w:ascii="Garamond" w:eastAsia="Times New Roman" w:hAnsi="Garamond" w:cs="Times New Roman"/>
          <w:i/>
          <w:iCs/>
          <w:color w:val="000000"/>
          <w:sz w:val="30"/>
          <w:szCs w:val="30"/>
          <w:lang w:eastAsia="it-IT"/>
        </w:rPr>
        <w:t xml:space="preserve">. Violazione e falsa applicazione dell’art. 48 del </w:t>
      </w:r>
      <w:proofErr w:type="spellStart"/>
      <w:r w:rsidRPr="00C4366E">
        <w:rPr>
          <w:rFonts w:ascii="Garamond" w:eastAsia="Times New Roman" w:hAnsi="Garamond" w:cs="Times New Roman"/>
          <w:i/>
          <w:iCs/>
          <w:color w:val="000000"/>
          <w:sz w:val="30"/>
          <w:szCs w:val="30"/>
          <w:lang w:eastAsia="it-IT"/>
        </w:rPr>
        <w:t>D.Leg.vo</w:t>
      </w:r>
      <w:proofErr w:type="spellEnd"/>
      <w:r w:rsidRPr="00C4366E">
        <w:rPr>
          <w:rFonts w:ascii="Garamond" w:eastAsia="Times New Roman" w:hAnsi="Garamond" w:cs="Times New Roman"/>
          <w:i/>
          <w:iCs/>
          <w:color w:val="000000"/>
          <w:sz w:val="30"/>
          <w:szCs w:val="30"/>
          <w:lang w:eastAsia="it-IT"/>
        </w:rPr>
        <w:t xml:space="preserve"> n. 50 del 2016 come modificato dall’art. 32 del </w:t>
      </w:r>
      <w:proofErr w:type="spellStart"/>
      <w:r w:rsidRPr="00C4366E">
        <w:rPr>
          <w:rFonts w:ascii="Garamond" w:eastAsia="Times New Roman" w:hAnsi="Garamond" w:cs="Times New Roman"/>
          <w:i/>
          <w:iCs/>
          <w:color w:val="000000"/>
          <w:sz w:val="30"/>
          <w:szCs w:val="30"/>
          <w:lang w:eastAsia="it-IT"/>
        </w:rPr>
        <w:t>D.Leg.vo</w:t>
      </w:r>
      <w:proofErr w:type="spellEnd"/>
      <w:r w:rsidRPr="00C4366E">
        <w:rPr>
          <w:rFonts w:ascii="Garamond" w:eastAsia="Times New Roman" w:hAnsi="Garamond" w:cs="Times New Roman"/>
          <w:i/>
          <w:iCs/>
          <w:color w:val="000000"/>
          <w:sz w:val="30"/>
          <w:szCs w:val="30"/>
          <w:lang w:eastAsia="it-IT"/>
        </w:rPr>
        <w:t xml:space="preserve"> n. 56 del 2017. Violazione dei principi generali che regolano l’</w:t>
      </w:r>
      <w:proofErr w:type="spellStart"/>
      <w:r w:rsidRPr="00C4366E">
        <w:rPr>
          <w:rFonts w:ascii="Garamond" w:eastAsia="Times New Roman" w:hAnsi="Garamond" w:cs="Times New Roman"/>
          <w:i/>
          <w:iCs/>
          <w:color w:val="000000"/>
          <w:sz w:val="30"/>
          <w:szCs w:val="30"/>
          <w:lang w:eastAsia="it-IT"/>
        </w:rPr>
        <w:t>immodificabilità</w:t>
      </w:r>
      <w:proofErr w:type="spellEnd"/>
      <w:r w:rsidRPr="00C4366E">
        <w:rPr>
          <w:rFonts w:ascii="Garamond" w:eastAsia="Times New Roman" w:hAnsi="Garamond" w:cs="Times New Roman"/>
          <w:i/>
          <w:iCs/>
          <w:color w:val="000000"/>
          <w:sz w:val="30"/>
          <w:szCs w:val="30"/>
          <w:lang w:eastAsia="it-IT"/>
        </w:rPr>
        <w:t xml:space="preserve"> dei raggruppamenti temporanei di imprese in sede di gara a tutela della par condicio dei concorrenti</w:t>
      </w:r>
      <w:r w:rsidRPr="00C4366E">
        <w:rPr>
          <w:rFonts w:ascii="Garamond" w:eastAsia="Times New Roman" w:hAnsi="Garamond" w:cs="Times New Roman"/>
          <w:color w:val="000000"/>
          <w:sz w:val="30"/>
          <w:szCs w:val="30"/>
          <w:lang w:eastAsia="it-IT"/>
        </w:rPr>
        <w:t>”: secondo l’appellante va preferita una interpretazione dell’art. 48, commi da 17 a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xml:space="preserve">), d.lgs. n. 50 del 2016, diversa da quella accolta dal Tar e tale per cui la modifica soggettiva del raggruppamento per perdita dei requisiti di partecipazione ex art. 80 del codice da parte della mandataria o di una </w:t>
      </w:r>
      <w:r w:rsidRPr="00C4366E">
        <w:rPr>
          <w:rFonts w:ascii="Garamond" w:eastAsia="Times New Roman" w:hAnsi="Garamond" w:cs="Times New Roman"/>
          <w:color w:val="000000"/>
          <w:sz w:val="30"/>
          <w:szCs w:val="30"/>
          <w:lang w:eastAsia="it-IT"/>
        </w:rPr>
        <w:lastRenderedPageBreak/>
        <w:t>delle mandanti è consentita a condizione che si verifichi nel corso dell’esecuzione del contratto, non anche in sede di gara.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4.1. Il primo argomento a sostegno di questa tesi è il seguente: i commi 17 e 18, sin dalla loro originaria formulazione, avevano riguardo a vicende sopravvenute nella fase di esecuzione del contratto, il d.lgs. n. 56 del 2017, contestualmente introducendo in essi la possibilità di modificare il raggruppamento temporaneo anche “</w:t>
      </w:r>
      <w:r w:rsidRPr="00C4366E">
        <w:rPr>
          <w:rFonts w:ascii="Garamond" w:eastAsia="Times New Roman" w:hAnsi="Garamond" w:cs="Times New Roman"/>
          <w:i/>
          <w:iCs/>
          <w:color w:val="000000"/>
          <w:sz w:val="30"/>
          <w:szCs w:val="30"/>
          <w:lang w:eastAsia="it-IT"/>
        </w:rPr>
        <w:t>in caso di perdita, in corso di esecuzione, dei requisiti di cui all’articolo 80</w:t>
      </w:r>
      <w:r w:rsidRPr="00C4366E">
        <w:rPr>
          <w:rFonts w:ascii="Garamond" w:eastAsia="Times New Roman" w:hAnsi="Garamond" w:cs="Times New Roman"/>
          <w:color w:val="000000"/>
          <w:sz w:val="30"/>
          <w:szCs w:val="30"/>
          <w:lang w:eastAsia="it-IT"/>
        </w:rPr>
        <w:t>” ed estendendo, con il comma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la disciplina delle modifiche soggettive anche a vicende verificatesi in corso di gara, aveva inteso escludere dai casi in cui è consentita la modifica soggettiva in cui in corso di gara proprio la perdita dei requisiti di partecipazione di cui all’art. 80 del codice; a voler diversamente opinare, infatti, l’inciso “in corso di esecuzione” inserito nelle due disposizioni che non si dubitava affatto avessero applicazione (a vicende avvenute) in corso di esecuzione, avrebbe una funzione “neutra o al più superflua” come pure aveva ritenuto il giudice di primo grado contravvenendo, però, alla regola interpretativa per la quale occorre sempre ricercare il senso utile di una disposizione normativa.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4.2. Il secondo argomento risiede nella necessità di rendere coerenti le disposizioni che prevedono la modifica soggettiva dei raggruppamenti temporanei di imprese con il principio di necessaria conservazione dei requisiti soggettivi per la partecipazione ad una procedura di gara in capo a ciascun componente del raggruppamento dall’avvio della procedura sino all’aggiudicazione ispirata, a sua volta, ai principi di </w:t>
      </w:r>
      <w:r w:rsidRPr="00C4366E">
        <w:rPr>
          <w:rFonts w:ascii="Garamond" w:eastAsia="Times New Roman" w:hAnsi="Garamond" w:cs="Times New Roman"/>
          <w:i/>
          <w:iCs/>
          <w:color w:val="000000"/>
          <w:sz w:val="30"/>
          <w:szCs w:val="30"/>
          <w:lang w:eastAsia="it-IT"/>
        </w:rPr>
        <w:t>par condicio</w:t>
      </w:r>
      <w:r w:rsidRPr="00C4366E">
        <w:rPr>
          <w:rFonts w:ascii="Garamond" w:eastAsia="Times New Roman" w:hAnsi="Garamond" w:cs="Times New Roman"/>
          <w:color w:val="000000"/>
          <w:sz w:val="30"/>
          <w:szCs w:val="30"/>
          <w:lang w:eastAsia="it-IT"/>
        </w:rPr>
        <w:t> tra i concorrenti, di celerità e di stabilità del novero dei partecipanti: se la deroga a tale principio è giustificata in fase di esecuzione per l’esigenza di assicurare il completamento dell’opera, non ricorre la medesima esigenza quando la procedura non si è ancora conclusa, né vale la distinzione proposta dal Tar tra originaria mancanza dei requisiti, mai superabile, e perdita sopravvenuta che, invece, potrebbe giustificare la modifica soggettiva.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lastRenderedPageBreak/>
        <w:t xml:space="preserve">4.3. Vi sarebbe, poi, valida ragione per distinguere tra sopravvenienze e precisamente tra sottoposizione a procedura concorsuale o applicazione di misura </w:t>
      </w:r>
      <w:proofErr w:type="spellStart"/>
      <w:r w:rsidRPr="00C4366E">
        <w:rPr>
          <w:rFonts w:ascii="Garamond" w:eastAsia="Times New Roman" w:hAnsi="Garamond" w:cs="Times New Roman"/>
          <w:color w:val="000000"/>
          <w:sz w:val="30"/>
          <w:szCs w:val="30"/>
          <w:lang w:eastAsia="it-IT"/>
        </w:rPr>
        <w:t>interdittiva</w:t>
      </w:r>
      <w:proofErr w:type="spellEnd"/>
      <w:r w:rsidRPr="00C4366E">
        <w:rPr>
          <w:rFonts w:ascii="Garamond" w:eastAsia="Times New Roman" w:hAnsi="Garamond" w:cs="Times New Roman"/>
          <w:color w:val="000000"/>
          <w:sz w:val="30"/>
          <w:szCs w:val="30"/>
          <w:lang w:eastAsia="it-IT"/>
        </w:rPr>
        <w:t xml:space="preserve"> antimafia – situazioni per le quali è consentita la modifica del raggruppamento anche in sede di gara – e perdita dei requisiti di cui all’art. 80, vicenda preclusiva della modificazione soggettiva: delle prime due, l’una, la situazione di insolvenza, si può determinare indipendentemente da qualsiasi comportamento dell’operatore economico potendo derivare da ritardi nei pagamenti dei committenti, l’altra, la misura </w:t>
      </w:r>
      <w:proofErr w:type="spellStart"/>
      <w:r w:rsidRPr="00C4366E">
        <w:rPr>
          <w:rFonts w:ascii="Garamond" w:eastAsia="Times New Roman" w:hAnsi="Garamond" w:cs="Times New Roman"/>
          <w:color w:val="000000"/>
          <w:sz w:val="30"/>
          <w:szCs w:val="30"/>
          <w:lang w:eastAsia="it-IT"/>
        </w:rPr>
        <w:t>interdittiva</w:t>
      </w:r>
      <w:proofErr w:type="spellEnd"/>
      <w:r w:rsidRPr="00C4366E">
        <w:rPr>
          <w:rFonts w:ascii="Garamond" w:eastAsia="Times New Roman" w:hAnsi="Garamond" w:cs="Times New Roman"/>
          <w:color w:val="000000"/>
          <w:sz w:val="30"/>
          <w:szCs w:val="30"/>
          <w:lang w:eastAsia="it-IT"/>
        </w:rPr>
        <w:t xml:space="preserve"> ha natura preventiva e cautelare ed è assunta sulla base di circostanze che prescindono dall’operatività concreta della società, la perdita dei requisiti ex art. 80, invece, attiene direttamente al corretto esercizio dell’attività di impresa.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III. </w:t>
      </w:r>
      <w:r w:rsidRPr="00C4366E">
        <w:rPr>
          <w:rFonts w:ascii="Garamond" w:eastAsia="Times New Roman" w:hAnsi="Garamond" w:cs="Times New Roman"/>
          <w:i/>
          <w:iCs/>
          <w:color w:val="000000"/>
          <w:sz w:val="30"/>
          <w:szCs w:val="30"/>
          <w:lang w:eastAsia="it-IT"/>
        </w:rPr>
        <w:t>Le disposizioni rilevanti e la questione problematica</w:t>
      </w:r>
      <w:r w:rsidRPr="00C4366E">
        <w:rPr>
          <w:rFonts w:ascii="Garamond" w:eastAsia="Times New Roman" w:hAnsi="Garamond" w:cs="Times New Roman"/>
          <w:color w:val="000000"/>
          <w:sz w:val="30"/>
          <w:szCs w:val="30"/>
          <w:lang w:eastAsia="it-IT"/>
        </w:rPr>
        <w:t>.</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5. Per ben esporre le questioni interpretative da rimettere all’Adunanza plenaria e le ragioni che a tanto inducono, è necessario meglio inquadrare la vicenda oggetto del giudizio.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5.1. Il </w:t>
      </w:r>
      <w:proofErr w:type="spellStart"/>
      <w:r w:rsidRPr="00C4366E">
        <w:rPr>
          <w:rFonts w:ascii="Garamond" w:eastAsia="Times New Roman" w:hAnsi="Garamond" w:cs="Times New Roman"/>
          <w:color w:val="000000"/>
          <w:sz w:val="30"/>
          <w:szCs w:val="30"/>
          <w:lang w:eastAsia="it-IT"/>
        </w:rPr>
        <w:t>r.t.i.</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 con la nota del 27 aprile 2020 ha espresso alla stazione appaltante la volontà di modificare la composizione del raggruppamento in seguito al recesso della mandante Consorzio Valori.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Tale situazione è prevista e disciplinata dall’art. 48, comma 19, d.lgs. 18 aprile 2016, n. 50 per il quale: “</w:t>
      </w:r>
      <w:r w:rsidRPr="00C4366E">
        <w:rPr>
          <w:rFonts w:ascii="Garamond" w:eastAsia="Times New Roman" w:hAnsi="Garamond" w:cs="Times New Roman"/>
          <w:i/>
          <w:iCs/>
          <w:color w:val="000000"/>
          <w:sz w:val="30"/>
          <w:szCs w:val="30"/>
          <w:lang w:eastAsia="it-IT"/>
        </w:rPr>
        <w:t>E’ ammesso il recesso di una o più imprese raggruppate, anche qualora il raggruppamento si riduca ad un unico soggetto, esclusivamente per esigenze organizzative del raggruppamento e sempre che le imprese rimanenti abbiano i requisiti di qualificazione adeguati ai lavori o servizi o forniture ancora da eseguire. In ogni caso la modifica soggettiva di cui al primo periodo non è ammessa se finalizzata ad eludere la mancanza di un requisito di partecipazione alla gara</w:t>
      </w:r>
      <w:r w:rsidRPr="00C4366E">
        <w:rPr>
          <w:rFonts w:ascii="Garamond" w:eastAsia="Times New Roman" w:hAnsi="Garamond" w:cs="Times New Roman"/>
          <w:color w:val="000000"/>
          <w:sz w:val="30"/>
          <w:szCs w:val="30"/>
          <w:lang w:eastAsia="it-IT"/>
        </w:rPr>
        <w:t>”.</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Nel provvedimento di esclusione del </w:t>
      </w:r>
      <w:proofErr w:type="spellStart"/>
      <w:r w:rsidRPr="00C4366E">
        <w:rPr>
          <w:rFonts w:ascii="Garamond" w:eastAsia="Times New Roman" w:hAnsi="Garamond" w:cs="Times New Roman"/>
          <w:color w:val="000000"/>
          <w:sz w:val="30"/>
          <w:szCs w:val="30"/>
          <w:lang w:eastAsia="it-IT"/>
        </w:rPr>
        <w:t>r.t.i.</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 xml:space="preserve"> dalla procedura, la stazione appaltante ha negato la sua autorizzazione alla modifica soggettiva del </w:t>
      </w:r>
      <w:r w:rsidRPr="00C4366E">
        <w:rPr>
          <w:rFonts w:ascii="Garamond" w:eastAsia="Times New Roman" w:hAnsi="Garamond" w:cs="Times New Roman"/>
          <w:color w:val="000000"/>
          <w:sz w:val="30"/>
          <w:szCs w:val="30"/>
          <w:lang w:eastAsia="it-IT"/>
        </w:rPr>
        <w:lastRenderedPageBreak/>
        <w:t>raggruppamento per recesso di una delle mandanti proprio perché ritenuta finalizzata ad eludere la mancanza di un requisito di partecipazione, non essendo emerse (e neppure allegate) le ragioni organizzative che l’avrebbero resa necessaria ed essendo, invece, strettamente ravvicinata (e, dunque, presumibilmente consequenziale) ai provvedimenti di risoluzione di precedenti contratti di appalto e di revoca di precedenti aggiudicazioni adottati nei confronti del Consorzio Valori.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5.2. Era dunque il recesso della mandante che il raggruppamento intendeva in prima battuta far valere quale causa di modificazione soggettiva in riduzione della compagine, e solo quando la stazione appaltante, negando la sua autorizzazione, ha impedito che l’effetto modificativo dovuto al recesso si producesse, ha assunto rilievo la (diversa) vicenda modificativa costituita dalla perdita di un requisito di partecipazione ex art. 80, comma 5, del codice dei contratti pubblici; negata l’autorizzazione al recesso, però, la stazione appaltante ha contestualmente disposto l’esclusione del </w:t>
      </w:r>
      <w:proofErr w:type="spellStart"/>
      <w:r w:rsidRPr="00C4366E">
        <w:rPr>
          <w:rFonts w:ascii="Garamond" w:eastAsia="Times New Roman" w:hAnsi="Garamond" w:cs="Times New Roman"/>
          <w:color w:val="000000"/>
          <w:sz w:val="30"/>
          <w:szCs w:val="30"/>
          <w:lang w:eastAsia="it-IT"/>
        </w:rPr>
        <w:t>r.t.i.</w:t>
      </w:r>
      <w:proofErr w:type="spellEnd"/>
      <w:r w:rsidRPr="00C4366E">
        <w:rPr>
          <w:rFonts w:ascii="Garamond" w:eastAsia="Times New Roman" w:hAnsi="Garamond" w:cs="Times New Roman"/>
          <w:color w:val="000000"/>
          <w:sz w:val="30"/>
          <w:szCs w:val="30"/>
          <w:lang w:eastAsia="it-IT"/>
        </w:rPr>
        <w:t> </w:t>
      </w:r>
      <w:proofErr w:type="spellStart"/>
      <w:r w:rsidRPr="00C4366E">
        <w:rPr>
          <w:rFonts w:ascii="Garamond" w:eastAsia="Times New Roman" w:hAnsi="Garamond" w:cs="Times New Roman"/>
          <w:color w:val="000000"/>
          <w:sz w:val="30"/>
          <w:szCs w:val="30"/>
          <w:lang w:eastAsia="it-IT"/>
        </w:rPr>
        <w:t>Medil</w:t>
      </w:r>
      <w:proofErr w:type="spellEnd"/>
      <w:r w:rsidRPr="00C4366E">
        <w:rPr>
          <w:rFonts w:ascii="Garamond" w:eastAsia="Times New Roman" w:hAnsi="Garamond" w:cs="Times New Roman"/>
          <w:color w:val="000000"/>
          <w:sz w:val="30"/>
          <w:szCs w:val="30"/>
          <w:lang w:eastAsia="it-IT"/>
        </w:rPr>
        <w:t> dalla procedura senza che questi potesse esprimere un suo diverso intendimento sulle modalità e la formazione con la quale intendeva permanere in gara.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5.3. Per dire corretto o meno l’operato della stazione appaltante è indispensabile, pertanto, risolvere la questione interpretativa che si è già in qualche modo in precedenza delineata e che ora va meglio articolata riportando il dato normativo rilevante.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L’art. 48 del codice dei contratti pubblici è dedicato ai “</w:t>
      </w:r>
      <w:r w:rsidRPr="00C4366E">
        <w:rPr>
          <w:rFonts w:ascii="Garamond" w:eastAsia="Times New Roman" w:hAnsi="Garamond" w:cs="Times New Roman"/>
          <w:i/>
          <w:iCs/>
          <w:color w:val="000000"/>
          <w:sz w:val="30"/>
          <w:szCs w:val="30"/>
          <w:lang w:eastAsia="it-IT"/>
        </w:rPr>
        <w:t>Raggruppamenti temporanei e consorzi ordinari di operatori economici</w:t>
      </w:r>
      <w:r w:rsidRPr="00C4366E">
        <w:rPr>
          <w:rFonts w:ascii="Garamond" w:eastAsia="Times New Roman" w:hAnsi="Garamond" w:cs="Times New Roman"/>
          <w:color w:val="000000"/>
          <w:sz w:val="30"/>
          <w:szCs w:val="30"/>
          <w:lang w:eastAsia="it-IT"/>
        </w:rPr>
        <w:t>”; i suoi ultimi commi, dal 17 al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disciplinano le vicende modificative in senso soggettivo dei raggruppamento temporanei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Come noto, tali regole costituiscono deroga al divieto di modificazione alla composizione dei raggruppamenti rispetto a quella risultante dall’impegno </w:t>
      </w:r>
      <w:r w:rsidRPr="00C4366E">
        <w:rPr>
          <w:rFonts w:ascii="Garamond" w:eastAsia="Times New Roman" w:hAnsi="Garamond" w:cs="Times New Roman"/>
          <w:color w:val="000000"/>
          <w:sz w:val="30"/>
          <w:szCs w:val="30"/>
          <w:lang w:eastAsia="it-IT"/>
        </w:rPr>
        <w:lastRenderedPageBreak/>
        <w:t>presentato in sede di offerta posto dal comma 9, secondo periodo, dello stesso articolo 48.</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Nella loro originaria formulazione, il comma 17 e il comma 18 si occupavano di specifiche sopravvenienze – la sottoposizione a procedura concorsuale (fallimento, liquidazione coatta amministrativa, amministrazione controllata, amministrazione straordinaria, concordato preventivo ovvero procedura di insolvenza concorsuale o di liquidazione) ovvero, per il caso di imprenditore individuale, la morte, l’interdizione, l’inabilitazione nonché i casi di perdita dei requisiti per via di provvedimenti previsti dalla normativa antimafia – consentendo rispettivamente la prosecuzione del rapporto di appalto con altro operatore in qualità di mandatario </w:t>
      </w:r>
      <w:proofErr w:type="spellStart"/>
      <w:r w:rsidRPr="00C4366E">
        <w:rPr>
          <w:rFonts w:ascii="Garamond" w:eastAsia="Times New Roman" w:hAnsi="Garamond" w:cs="Times New Roman"/>
          <w:color w:val="000000"/>
          <w:sz w:val="30"/>
          <w:szCs w:val="30"/>
          <w:lang w:eastAsia="it-IT"/>
        </w:rPr>
        <w:t>purchè</w:t>
      </w:r>
      <w:proofErr w:type="spellEnd"/>
      <w:r w:rsidRPr="00C4366E">
        <w:rPr>
          <w:rFonts w:ascii="Garamond" w:eastAsia="Times New Roman" w:hAnsi="Garamond" w:cs="Times New Roman"/>
          <w:color w:val="000000"/>
          <w:sz w:val="30"/>
          <w:szCs w:val="30"/>
          <w:lang w:eastAsia="it-IT"/>
        </w:rPr>
        <w:t xml:space="preserve"> in possesso dei requisiti di qualificazione adeguati ai lavori, servizi o forniture ancora da eseguire, e, per il caso di vicenda relativa ad una delle mandanti, l’indicazione da parte del mandatario di altro operatore economico subentrante ovvero l’esecuzione diretta o a mezzo degli altri mandanti ancora una volta </w:t>
      </w:r>
      <w:proofErr w:type="spellStart"/>
      <w:r w:rsidRPr="00C4366E">
        <w:rPr>
          <w:rFonts w:ascii="Garamond" w:eastAsia="Times New Roman" w:hAnsi="Garamond" w:cs="Times New Roman"/>
          <w:color w:val="000000"/>
          <w:sz w:val="30"/>
          <w:szCs w:val="30"/>
          <w:lang w:eastAsia="it-IT"/>
        </w:rPr>
        <w:t>purchè</w:t>
      </w:r>
      <w:proofErr w:type="spellEnd"/>
      <w:r w:rsidRPr="00C4366E">
        <w:rPr>
          <w:rFonts w:ascii="Garamond" w:eastAsia="Times New Roman" w:hAnsi="Garamond" w:cs="Times New Roman"/>
          <w:color w:val="000000"/>
          <w:sz w:val="30"/>
          <w:szCs w:val="30"/>
          <w:lang w:eastAsia="it-IT"/>
        </w:rPr>
        <w:t xml:space="preserve"> in possesso dei requisiti di qualificazione adeguati ai lavori, servizi o forniture ancora da eseguire.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Giusto il riferimento alla parte di contratto “</w:t>
      </w:r>
      <w:r w:rsidRPr="00C4366E">
        <w:rPr>
          <w:rFonts w:ascii="Garamond" w:eastAsia="Times New Roman" w:hAnsi="Garamond" w:cs="Times New Roman"/>
          <w:i/>
          <w:iCs/>
          <w:color w:val="000000"/>
          <w:sz w:val="30"/>
          <w:szCs w:val="30"/>
          <w:lang w:eastAsia="it-IT"/>
        </w:rPr>
        <w:t>ancora da eseguire</w:t>
      </w:r>
      <w:r w:rsidRPr="00C4366E">
        <w:rPr>
          <w:rFonts w:ascii="Garamond" w:eastAsia="Times New Roman" w:hAnsi="Garamond" w:cs="Times New Roman"/>
          <w:color w:val="000000"/>
          <w:sz w:val="30"/>
          <w:szCs w:val="30"/>
          <w:lang w:eastAsia="it-IT"/>
        </w:rPr>
        <w:t>” nell’uno come nell’altro comma, era chiaro che la fase cui le disposizioni avevano riguardo era quella di esecuzione del contratto di appalto.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Con l’art. 32, comma 1, lett. h) d.lgs. n. 56 del 2017, c.d. correttivo al codice, il legislatore è intervenuto aggiungendo ai commi 17 e 18 la frase “</w:t>
      </w:r>
      <w:r w:rsidRPr="00C4366E">
        <w:rPr>
          <w:rFonts w:ascii="Garamond" w:eastAsia="Times New Roman" w:hAnsi="Garamond" w:cs="Times New Roman"/>
          <w:i/>
          <w:iCs/>
          <w:color w:val="000000"/>
          <w:sz w:val="30"/>
          <w:szCs w:val="30"/>
          <w:lang w:eastAsia="it-IT"/>
        </w:rPr>
        <w:t>ovvero in caso di perdita, in corso di esecuzione, dei requisiti di cui all’articolo 80</w:t>
      </w:r>
      <w:r w:rsidRPr="00C4366E">
        <w:rPr>
          <w:rFonts w:ascii="Garamond" w:eastAsia="Times New Roman" w:hAnsi="Garamond" w:cs="Times New Roman"/>
          <w:color w:val="000000"/>
          <w:sz w:val="30"/>
          <w:szCs w:val="30"/>
          <w:lang w:eastAsia="it-IT"/>
        </w:rPr>
        <w:t>”, e così ampliando le sopravvenienze in grado di determinare la modifica in senso soggettivo del raggruppamento anche ai casi di perdita dei requisiti generali di partecipazione di cui all’art. 80 del codice dei contratti pubblici, ma precisando, pur sempre, che l’ambito rilevante era quello della esecuzione del contratto di appalto.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lastRenderedPageBreak/>
        <w:t>Contestualmente, tuttavia, era aggiunto il comma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del seguente tenore: </w:t>
      </w:r>
      <w:r w:rsidRPr="00C4366E">
        <w:rPr>
          <w:rFonts w:ascii="Garamond" w:eastAsia="Times New Roman" w:hAnsi="Garamond" w:cs="Times New Roman"/>
          <w:i/>
          <w:iCs/>
          <w:color w:val="000000"/>
          <w:sz w:val="30"/>
          <w:szCs w:val="30"/>
          <w:lang w:eastAsia="it-IT"/>
        </w:rPr>
        <w:t>“Le previsioni di cui ai commi 17, 18 e 19 trovano applicazione anche laddove le modifiche soggettive ivi contemplate si verifichino in fase di gara</w:t>
      </w:r>
      <w:r w:rsidRPr="00C4366E">
        <w:rPr>
          <w:rFonts w:ascii="Garamond" w:eastAsia="Times New Roman" w:hAnsi="Garamond" w:cs="Times New Roman"/>
          <w:color w:val="000000"/>
          <w:sz w:val="30"/>
          <w:szCs w:val="30"/>
          <w:lang w:eastAsia="it-IT"/>
        </w:rPr>
        <w:t>”; con ciò le sopravvenienze descritte dai commi 17 e 18 (oltre che dal comma 19, come visto, riferito alla vicenda del recesso di una delle componenti del raggruppamento) hanno assunto rilevanza non più solamente nella fase esecutiva del contratto, ma anche nella fase di gara.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5.4. Ne è sorto un dubbio interpretativo che è ben rappresentato dalle contrapposte letture delle citate disposizioni che è stata data dalle sentenze già ricordate dal giudice di primo grado.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Questa Sezione si è pronunciata con la sentenza 28 gennaio 2021, n. 833 nel senso che a seguito dell’introduzione del comma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all’interno dell’articolo 48 è consentita la sostituzione del mandante in fase di gara per le vicende sopravvenute previste dal comma 18 con esclusione, però, della perdita dei requisiti di cui all’art. 80 del codice dei contratti pubblici che, per il medesimo comma 18, è prevista quale causa di sostituzione della mandante nella sola fase di esecuzione; tale conclusione viene argomentata proprio in considerazione della scelta del legislatore che, in uno all’introduzione del comma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i/>
          <w:iCs/>
          <w:color w:val="000000"/>
          <w:sz w:val="30"/>
          <w:szCs w:val="30"/>
          <w:lang w:eastAsia="it-IT"/>
        </w:rPr>
        <w:t>)</w:t>
      </w:r>
      <w:r w:rsidRPr="00C4366E">
        <w:rPr>
          <w:rFonts w:ascii="Garamond" w:eastAsia="Times New Roman" w:hAnsi="Garamond" w:cs="Times New Roman"/>
          <w:color w:val="000000"/>
          <w:sz w:val="30"/>
          <w:szCs w:val="30"/>
          <w:lang w:eastAsia="it-IT"/>
        </w:rPr>
        <w:t>, modificava i commi 17 e 18 specificando che la perdita dei requisiti di partecipazione di cui all’art. 80 consentiva, sì, la modificazione del raggruppamento ma sempre che fosse avvenuta “</w:t>
      </w:r>
      <w:r w:rsidRPr="00C4366E">
        <w:rPr>
          <w:rFonts w:ascii="Garamond" w:eastAsia="Times New Roman" w:hAnsi="Garamond" w:cs="Times New Roman"/>
          <w:i/>
          <w:iCs/>
          <w:color w:val="000000"/>
          <w:sz w:val="30"/>
          <w:szCs w:val="30"/>
          <w:lang w:eastAsia="it-IT"/>
        </w:rPr>
        <w:t>in corso di esecuzione</w:t>
      </w:r>
      <w:r w:rsidRPr="00C4366E">
        <w:rPr>
          <w:rFonts w:ascii="Garamond" w:eastAsia="Times New Roman" w:hAnsi="Garamond" w:cs="Times New Roman"/>
          <w:color w:val="000000"/>
          <w:sz w:val="30"/>
          <w:szCs w:val="30"/>
          <w:lang w:eastAsia="it-IT"/>
        </w:rPr>
        <w:t>” e, dunque, in quanto “</w:t>
      </w:r>
      <w:r w:rsidRPr="00C4366E">
        <w:rPr>
          <w:rFonts w:ascii="Garamond" w:eastAsia="Times New Roman" w:hAnsi="Garamond" w:cs="Times New Roman"/>
          <w:i/>
          <w:iCs/>
          <w:color w:val="000000"/>
          <w:sz w:val="30"/>
          <w:szCs w:val="30"/>
          <w:lang w:eastAsia="it-IT"/>
        </w:rPr>
        <w:t>sarebbe</w:t>
      </w:r>
      <w:r w:rsidRPr="00C4366E">
        <w:rPr>
          <w:rFonts w:ascii="Garamond" w:eastAsia="Times New Roman" w:hAnsi="Garamond" w:cs="Times New Roman"/>
          <w:color w:val="000000"/>
          <w:sz w:val="30"/>
          <w:szCs w:val="30"/>
          <w:lang w:eastAsia="it-IT"/>
        </w:rPr>
        <w:t>, …, </w:t>
      </w:r>
      <w:r w:rsidRPr="00C4366E">
        <w:rPr>
          <w:rFonts w:ascii="Garamond" w:eastAsia="Times New Roman" w:hAnsi="Garamond" w:cs="Times New Roman"/>
          <w:i/>
          <w:iCs/>
          <w:color w:val="000000"/>
          <w:sz w:val="30"/>
          <w:szCs w:val="30"/>
          <w:lang w:eastAsia="it-IT"/>
        </w:rPr>
        <w:t xml:space="preserve">del tutto illogico che l'estensione "alla fase di gara" di cui al comma 19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i/>
          <w:iCs/>
          <w:color w:val="000000"/>
          <w:sz w:val="30"/>
          <w:szCs w:val="30"/>
          <w:lang w:eastAsia="it-IT"/>
        </w:rPr>
        <w:t>, introdotto dallo stesso 'decreto correttivo' vada a neutralizzare la specifica e coeva modifica del comma 18</w:t>
      </w:r>
      <w:r w:rsidRPr="00C4366E">
        <w:rPr>
          <w:rFonts w:ascii="Garamond" w:eastAsia="Times New Roman" w:hAnsi="Garamond" w:cs="Times New Roman"/>
          <w:color w:val="000000"/>
          <w:sz w:val="30"/>
          <w:szCs w:val="30"/>
          <w:lang w:eastAsia="it-IT"/>
        </w:rPr>
        <w:t>”.</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Di contro la terza Sezione, con la sentenza 2 aprile 2020, n. 2245, ha ritenuto che il comma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i/>
          <w:iCs/>
          <w:color w:val="000000"/>
          <w:sz w:val="30"/>
          <w:szCs w:val="30"/>
          <w:lang w:eastAsia="it-IT"/>
        </w:rPr>
        <w:t> </w:t>
      </w:r>
      <w:r w:rsidRPr="00C4366E">
        <w:rPr>
          <w:rFonts w:ascii="Garamond" w:eastAsia="Times New Roman" w:hAnsi="Garamond" w:cs="Times New Roman"/>
          <w:color w:val="000000"/>
          <w:sz w:val="30"/>
          <w:szCs w:val="30"/>
          <w:lang w:eastAsia="it-IT"/>
        </w:rPr>
        <w:t xml:space="preserve">dell’art. 48 estenda espressamente la modifica soggettiva a tutte le vicende richiamate dai commi 17 e 18 (oltre che dal comma 19), ivi compresa la perdita dei requisiti di partecipazione ex art. 80 del codice, anche alla fase di gara, poiché limitarne la portata, in ragione della locuzione “in corso di esecuzione” </w:t>
      </w:r>
      <w:r w:rsidRPr="00C4366E">
        <w:rPr>
          <w:rFonts w:ascii="Garamond" w:eastAsia="Times New Roman" w:hAnsi="Garamond" w:cs="Times New Roman"/>
          <w:color w:val="000000"/>
          <w:sz w:val="30"/>
          <w:szCs w:val="30"/>
          <w:lang w:eastAsia="it-IT"/>
        </w:rPr>
        <w:lastRenderedPageBreak/>
        <w:t>inserita nei predetti commi, sarebbe in contraddizione palese con il contenuto dispositivo innovativo del nuovo comma, tale da privarlo di significato.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IV. </w:t>
      </w:r>
      <w:r w:rsidRPr="00C4366E">
        <w:rPr>
          <w:rFonts w:ascii="Garamond" w:eastAsia="Times New Roman" w:hAnsi="Garamond" w:cs="Times New Roman"/>
          <w:i/>
          <w:iCs/>
          <w:color w:val="000000"/>
          <w:sz w:val="30"/>
          <w:szCs w:val="30"/>
          <w:lang w:eastAsia="it-IT"/>
        </w:rPr>
        <w:t>Le ragioni della rimessione all’Adunanza plenaria</w:t>
      </w:r>
      <w:r w:rsidRPr="00C4366E">
        <w:rPr>
          <w:rFonts w:ascii="Garamond" w:eastAsia="Times New Roman" w:hAnsi="Garamond" w:cs="Times New Roman"/>
          <w:color w:val="000000"/>
          <w:sz w:val="30"/>
          <w:szCs w:val="30"/>
          <w:lang w:eastAsia="it-IT"/>
        </w:rPr>
        <w:t>.</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5.5. L’appellante dice sopito il contrasto giurisprudenziale a seguito della pronuncia dell’Adunanza plenaria 27 maggio 2021, n. 10, come dimostrerebbe il fatto che anche della terza Sezione si è infine allineata alla lettura restrittiva della quinta Sezione.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5.6. In effetti, l’Adunanza plenaria, investita della questione (tra le altre proposte dal Consiglio di giustizia amministrativa per la Regione siciliana) della sostituibilità in corso di gara dell’impresa mandataria fallita o comunque assoggettata ad altra procedura concorsuale con un’altra impresa, esterna all’originario raggruppamento di imprese (c.d. sostituzione per addizione), ha affermato (al par. 23.3.) che “</w:t>
      </w:r>
      <w:r w:rsidRPr="00C4366E">
        <w:rPr>
          <w:rFonts w:ascii="Garamond" w:eastAsia="Times New Roman" w:hAnsi="Garamond" w:cs="Times New Roman"/>
          <w:i/>
          <w:iCs/>
          <w:color w:val="000000"/>
          <w:sz w:val="30"/>
          <w:szCs w:val="30"/>
          <w:lang w:eastAsia="it-IT"/>
        </w:rPr>
        <w:t xml:space="preserve">nella sola fase di esecuzione, peraltro, il legislatore, dopo la riforma apportata dall’art. 32, comma 1, lett. h, del d.lgs. n. 56 del 2017, ha previsto che anche il venir meno di uno dei requisiti di partecipazione, di cui all’art. 80 del d.lgs. n. 50 del 2016, in capo ad uno dei componenti – non essendo tale ipotesi applicabile alla fase di gara (v., sul punto, Cons. St., sez. V, 28 gennaio 2021, n. 833, Cons. St., sez. V, 27 agosto 2020, n. 5255 nonché l'ANAC nella delibera n. 555 del 12 giugno 2011 su istanza di parere </w:t>
      </w:r>
      <w:proofErr w:type="spellStart"/>
      <w:r w:rsidRPr="00C4366E">
        <w:rPr>
          <w:rFonts w:ascii="Garamond" w:eastAsia="Times New Roman" w:hAnsi="Garamond" w:cs="Times New Roman"/>
          <w:i/>
          <w:iCs/>
          <w:color w:val="000000"/>
          <w:sz w:val="30"/>
          <w:szCs w:val="30"/>
          <w:lang w:eastAsia="it-IT"/>
        </w:rPr>
        <w:t>precontenzioso</w:t>
      </w:r>
      <w:proofErr w:type="spellEnd"/>
      <w:r w:rsidRPr="00C4366E">
        <w:rPr>
          <w:rFonts w:ascii="Garamond" w:eastAsia="Times New Roman" w:hAnsi="Garamond" w:cs="Times New Roman"/>
          <w:i/>
          <w:iCs/>
          <w:color w:val="000000"/>
          <w:sz w:val="30"/>
          <w:szCs w:val="30"/>
          <w:lang w:eastAsia="it-IT"/>
        </w:rPr>
        <w:t xml:space="preserve"> ai sensi dell'art. 211, comma 1, del d. </w:t>
      </w:r>
      <w:proofErr w:type="spellStart"/>
      <w:r w:rsidRPr="00C4366E">
        <w:rPr>
          <w:rFonts w:ascii="Garamond" w:eastAsia="Times New Roman" w:hAnsi="Garamond" w:cs="Times New Roman"/>
          <w:i/>
          <w:iCs/>
          <w:color w:val="000000"/>
          <w:sz w:val="30"/>
          <w:szCs w:val="30"/>
          <w:lang w:eastAsia="it-IT"/>
        </w:rPr>
        <w:t>lgs</w:t>
      </w:r>
      <w:proofErr w:type="spellEnd"/>
      <w:r w:rsidRPr="00C4366E">
        <w:rPr>
          <w:rFonts w:ascii="Garamond" w:eastAsia="Times New Roman" w:hAnsi="Garamond" w:cs="Times New Roman"/>
          <w:i/>
          <w:iCs/>
          <w:color w:val="000000"/>
          <w:sz w:val="30"/>
          <w:szCs w:val="30"/>
          <w:lang w:eastAsia="it-IT"/>
        </w:rPr>
        <w:t>. n. 50 del 2016) – possa giustificare la modifica soggettiva, ma sempre e solo interna al raggruppamento perché, diversamente, la fase dell'esecuzione presterebbe il fianco ex post all'aggiramento delle regole della trasparenza e della concorrenza, che presiedono alla fase della scelta del contraente, con l'inserzione postuma di soggetti esterni che nemmeno hanno preso parte alla gara e si troverebbero ad essere contraenti della pubblica amministrazione</w:t>
      </w:r>
      <w:r w:rsidRPr="00C4366E">
        <w:rPr>
          <w:rFonts w:ascii="Garamond" w:eastAsia="Times New Roman" w:hAnsi="Garamond" w:cs="Times New Roman"/>
          <w:color w:val="000000"/>
          <w:sz w:val="30"/>
          <w:szCs w:val="30"/>
          <w:lang w:eastAsia="it-IT"/>
        </w:rPr>
        <w:t>”; concetto ribadito al par. 36.</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Allo stesso modo risponde al vero che recentemente la terza Sezione con la sentenza 11 agosto 2021, n. 5852 ha rimeditato il proprio orientamento alla luce delle indicazioni interpretative fornite dall’Adunanza plenaria, facendo propri gli </w:t>
      </w:r>
      <w:r w:rsidRPr="00C4366E">
        <w:rPr>
          <w:rFonts w:ascii="Garamond" w:eastAsia="Times New Roman" w:hAnsi="Garamond" w:cs="Times New Roman"/>
          <w:color w:val="000000"/>
          <w:sz w:val="30"/>
          <w:szCs w:val="30"/>
          <w:lang w:eastAsia="it-IT"/>
        </w:rPr>
        <w:lastRenderedPageBreak/>
        <w:t>argomenti già spesi da questa Sezione nelle pronunce citate dalla stessa Adunanza plenaria per escludere la modificazione in senso riduttivo del raggruppamento in corso di gara in conseguenza della perdita dei requisiti di cui all’art. 80 del codice dei contratti pubblici.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5.7. Nondimeno ritiene il Collegio che vi siano valide ragioni per sottoporre all’Adunanza plenaria la questione dell’esatta interpretazione dei commi 17, 18 e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dell’art. 48 del codice dei contratti pubblici, e precisamente: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a) nella sentenza n. 10 del 2021, la modificabilità del raggruppamento per la perdita di requisiti di cui all’art. 80 del codice in capo alla mandataria o ad una delle mandanti in fase di gara è detta non ammissibile </w:t>
      </w:r>
      <w:r w:rsidRPr="00C4366E">
        <w:rPr>
          <w:rFonts w:ascii="Garamond" w:eastAsia="Times New Roman" w:hAnsi="Garamond" w:cs="Times New Roman"/>
          <w:i/>
          <w:iCs/>
          <w:color w:val="000000"/>
          <w:sz w:val="30"/>
          <w:szCs w:val="30"/>
          <w:lang w:eastAsia="it-IT"/>
        </w:rPr>
        <w:t>incidentalmente, </w:t>
      </w:r>
      <w:r w:rsidRPr="00C4366E">
        <w:rPr>
          <w:rFonts w:ascii="Garamond" w:eastAsia="Times New Roman" w:hAnsi="Garamond" w:cs="Times New Roman"/>
          <w:color w:val="000000"/>
          <w:sz w:val="30"/>
          <w:szCs w:val="30"/>
          <w:lang w:eastAsia="it-IT"/>
        </w:rPr>
        <w:t>nel corso, cioè, della trattazione dedicata alla questione centrale della quale l’Adunanza plenaria era stata investita dal giudice rimettente, e dunque, senza che siano stati spesi argomenti a supporto di tale conclusione, (se non il mero richiamo alle sentenze della Quinta sezione alla delibera dell’</w:t>
      </w:r>
      <w:proofErr w:type="spellStart"/>
      <w:r w:rsidRPr="00C4366E">
        <w:rPr>
          <w:rFonts w:ascii="Garamond" w:eastAsia="Times New Roman" w:hAnsi="Garamond" w:cs="Times New Roman"/>
          <w:color w:val="000000"/>
          <w:sz w:val="30"/>
          <w:szCs w:val="30"/>
          <w:lang w:eastAsia="it-IT"/>
        </w:rPr>
        <w:t>Anac</w:t>
      </w:r>
      <w:proofErr w:type="spellEnd"/>
      <w:r w:rsidRPr="00C4366E">
        <w:rPr>
          <w:rFonts w:ascii="Garamond" w:eastAsia="Times New Roman" w:hAnsi="Garamond" w:cs="Times New Roman"/>
          <w:color w:val="000000"/>
          <w:sz w:val="30"/>
          <w:szCs w:val="30"/>
          <w:lang w:eastAsia="it-IT"/>
        </w:rPr>
        <w:t>), né tantomeno messi a confronto gli opposti orientamenti; è per questo ipotizzabile che il contrasto si riproponga coinvolgendo anche le altre Sezioni di questo Consiglio di Stato che trattano la materia degli appalti pubblici;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b) l’interpretazione delle disposizioni rilevanti è sicuramente connotata da alto livello di problematicità in quanto: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b</w:t>
      </w:r>
      <w:proofErr w:type="spellStart"/>
      <w:r w:rsidRPr="00C4366E">
        <w:rPr>
          <w:rFonts w:ascii="Garamond" w:eastAsia="Times New Roman" w:hAnsi="Garamond" w:cs="Times New Roman"/>
          <w:color w:val="000000"/>
          <w:sz w:val="30"/>
          <w:szCs w:val="30"/>
          <w:lang w:eastAsia="it-IT"/>
        </w:rPr>
        <w:t>.</w:t>
      </w:r>
      <w:proofErr w:type="spellEnd"/>
      <w:r w:rsidRPr="00C4366E">
        <w:rPr>
          <w:rFonts w:ascii="Garamond" w:eastAsia="Times New Roman" w:hAnsi="Garamond" w:cs="Times New Roman"/>
          <w:color w:val="000000"/>
          <w:sz w:val="30"/>
          <w:szCs w:val="30"/>
          <w:lang w:eastAsia="it-IT"/>
        </w:rPr>
        <w:t>1) il dato letterale, a ben riflettere, non pare decisivo per ricavare la regola della fattispecie: l’inciso “</w:t>
      </w:r>
      <w:r w:rsidRPr="00C4366E">
        <w:rPr>
          <w:rFonts w:ascii="Garamond" w:eastAsia="Times New Roman" w:hAnsi="Garamond" w:cs="Times New Roman"/>
          <w:i/>
          <w:iCs/>
          <w:color w:val="000000"/>
          <w:sz w:val="30"/>
          <w:szCs w:val="30"/>
          <w:lang w:eastAsia="it-IT"/>
        </w:rPr>
        <w:t>in corso di esecuzione</w:t>
      </w:r>
      <w:r w:rsidRPr="00C4366E">
        <w:rPr>
          <w:rFonts w:ascii="Garamond" w:eastAsia="Times New Roman" w:hAnsi="Garamond" w:cs="Times New Roman"/>
          <w:color w:val="000000"/>
          <w:sz w:val="30"/>
          <w:szCs w:val="30"/>
          <w:lang w:eastAsia="it-IT"/>
        </w:rPr>
        <w:t>” riferito al caso di perdita dei requisiti di partecipazione, senza che lo si dica inutile o superfluo come fatto dal giudice di primo grado, od anche illogico, potrebbe essere stato avvertito dal legislatore come precisazione necessaria per evitare il possibile dubbio interpretativo che il richiamo ai “</w:t>
      </w:r>
      <w:r w:rsidRPr="00C4366E">
        <w:rPr>
          <w:rFonts w:ascii="Garamond" w:eastAsia="Times New Roman" w:hAnsi="Garamond" w:cs="Times New Roman"/>
          <w:i/>
          <w:iCs/>
          <w:color w:val="000000"/>
          <w:sz w:val="30"/>
          <w:szCs w:val="30"/>
          <w:lang w:eastAsia="it-IT"/>
        </w:rPr>
        <w:t>requisiti di cui all’art. 80</w:t>
      </w:r>
      <w:r w:rsidRPr="00C4366E">
        <w:rPr>
          <w:rFonts w:ascii="Garamond" w:eastAsia="Times New Roman" w:hAnsi="Garamond" w:cs="Times New Roman"/>
          <w:color w:val="000000"/>
          <w:sz w:val="30"/>
          <w:szCs w:val="30"/>
          <w:lang w:eastAsia="it-IT"/>
        </w:rPr>
        <w:t>” vale a dire a quei requisiti – e a quell’articolo del codice – la cui verifica si compie in fase procedurale avrebbe potuto far sorgere circa l’effettivo ambito applicativo della disposizione;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lastRenderedPageBreak/>
        <w:t>b</w:t>
      </w:r>
      <w:proofErr w:type="spellStart"/>
      <w:r w:rsidRPr="00C4366E">
        <w:rPr>
          <w:rFonts w:ascii="Garamond" w:eastAsia="Times New Roman" w:hAnsi="Garamond" w:cs="Times New Roman"/>
          <w:color w:val="000000"/>
          <w:sz w:val="30"/>
          <w:szCs w:val="30"/>
          <w:lang w:eastAsia="it-IT"/>
        </w:rPr>
        <w:t>.</w:t>
      </w:r>
      <w:proofErr w:type="spellEnd"/>
      <w:r w:rsidRPr="00C4366E">
        <w:rPr>
          <w:rFonts w:ascii="Garamond" w:eastAsia="Times New Roman" w:hAnsi="Garamond" w:cs="Times New Roman"/>
          <w:color w:val="000000"/>
          <w:sz w:val="30"/>
          <w:szCs w:val="30"/>
          <w:lang w:eastAsia="it-IT"/>
        </w:rPr>
        <w:t>2) si aggiunga che risponde a logica l’argomento per il quale se il legislatore, introducendo il comma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xml:space="preserve"> all’interno dell’art. 48, avesse voluto far eccezione alla deroga e ripristinare il principio di </w:t>
      </w:r>
      <w:proofErr w:type="spellStart"/>
      <w:r w:rsidRPr="00C4366E">
        <w:rPr>
          <w:rFonts w:ascii="Garamond" w:eastAsia="Times New Roman" w:hAnsi="Garamond" w:cs="Times New Roman"/>
          <w:color w:val="000000"/>
          <w:sz w:val="30"/>
          <w:szCs w:val="30"/>
          <w:lang w:eastAsia="it-IT"/>
        </w:rPr>
        <w:t>immodificabilità</w:t>
      </w:r>
      <w:proofErr w:type="spellEnd"/>
      <w:r w:rsidRPr="00C4366E">
        <w:rPr>
          <w:rFonts w:ascii="Garamond" w:eastAsia="Times New Roman" w:hAnsi="Garamond" w:cs="Times New Roman"/>
          <w:color w:val="000000"/>
          <w:sz w:val="30"/>
          <w:szCs w:val="30"/>
          <w:lang w:eastAsia="it-IT"/>
        </w:rPr>
        <w:t xml:space="preserve"> del raggruppamento in caso di perdita dei requisiti generali di cui all’art. 80 del codice in fase di gara, la via maestra sarebbe stata quella di operare la distinzione all’interno dello stesso comma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i/>
          <w:iCs/>
          <w:color w:val="000000"/>
          <w:sz w:val="30"/>
          <w:szCs w:val="30"/>
          <w:lang w:eastAsia="it-IT"/>
        </w:rPr>
        <w:t>,</w:t>
      </w:r>
      <w:r w:rsidRPr="00C4366E">
        <w:rPr>
          <w:rFonts w:ascii="Garamond" w:eastAsia="Times New Roman" w:hAnsi="Garamond" w:cs="Times New Roman"/>
          <w:color w:val="000000"/>
          <w:sz w:val="30"/>
          <w:szCs w:val="30"/>
          <w:lang w:eastAsia="it-IT"/>
        </w:rPr>
        <w:t> senza dar vita ad un arzigogolo interpretativo; rinviando alle “modifiche soggettive” contemplate dai commi 17, 18 e 19, invero, la norma pianamente dice suscettibili di portare alla modifica del raggruppamento in fase di gara tutte le sopravvenienze ivi previste, compresa la perdita dei requisiti generali;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b</w:t>
      </w:r>
      <w:proofErr w:type="spellStart"/>
      <w:r w:rsidRPr="00C4366E">
        <w:rPr>
          <w:rFonts w:ascii="Garamond" w:eastAsia="Times New Roman" w:hAnsi="Garamond" w:cs="Times New Roman"/>
          <w:color w:val="000000"/>
          <w:sz w:val="30"/>
          <w:szCs w:val="30"/>
          <w:lang w:eastAsia="it-IT"/>
        </w:rPr>
        <w:t>.</w:t>
      </w:r>
      <w:proofErr w:type="spellEnd"/>
      <w:r w:rsidRPr="00C4366E">
        <w:rPr>
          <w:rFonts w:ascii="Garamond" w:eastAsia="Times New Roman" w:hAnsi="Garamond" w:cs="Times New Roman"/>
          <w:color w:val="000000"/>
          <w:sz w:val="30"/>
          <w:szCs w:val="30"/>
          <w:lang w:eastAsia="it-IT"/>
        </w:rPr>
        <w:t>3) ad ogni modo non si può negare che occorra superare in sede interpretativa una distonia e contraddizione tra le norme che sembra ricorrere su di un duplice piano: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b</w:t>
      </w:r>
      <w:proofErr w:type="spellStart"/>
      <w:r w:rsidRPr="00C4366E">
        <w:rPr>
          <w:rFonts w:ascii="Garamond" w:eastAsia="Times New Roman" w:hAnsi="Garamond" w:cs="Times New Roman"/>
          <w:color w:val="000000"/>
          <w:sz w:val="30"/>
          <w:szCs w:val="30"/>
          <w:lang w:eastAsia="it-IT"/>
        </w:rPr>
        <w:t>.</w:t>
      </w:r>
      <w:proofErr w:type="spellEnd"/>
      <w:r w:rsidRPr="00C4366E">
        <w:rPr>
          <w:rFonts w:ascii="Garamond" w:eastAsia="Times New Roman" w:hAnsi="Garamond" w:cs="Times New Roman"/>
          <w:color w:val="000000"/>
          <w:sz w:val="30"/>
          <w:szCs w:val="30"/>
          <w:lang w:eastAsia="it-IT"/>
        </w:rPr>
        <w:t xml:space="preserve">3.1.) sul piano interno, poiché non può negarsi che, a voler seguire una certa interpretazione tra le due possibili, si finisce coll’ammettere la modifica soggettiva del raggruppamento in corso di gara in caso di impresa sottoposta a procedura concorsuale o raggiunta da </w:t>
      </w:r>
      <w:proofErr w:type="spellStart"/>
      <w:r w:rsidRPr="00C4366E">
        <w:rPr>
          <w:rFonts w:ascii="Garamond" w:eastAsia="Times New Roman" w:hAnsi="Garamond" w:cs="Times New Roman"/>
          <w:color w:val="000000"/>
          <w:sz w:val="30"/>
          <w:szCs w:val="30"/>
          <w:lang w:eastAsia="it-IT"/>
        </w:rPr>
        <w:t>interdittiva</w:t>
      </w:r>
      <w:proofErr w:type="spellEnd"/>
      <w:r w:rsidRPr="00C4366E">
        <w:rPr>
          <w:rFonts w:ascii="Garamond" w:eastAsia="Times New Roman" w:hAnsi="Garamond" w:cs="Times New Roman"/>
          <w:color w:val="000000"/>
          <w:sz w:val="30"/>
          <w:szCs w:val="30"/>
          <w:lang w:eastAsia="it-IT"/>
        </w:rPr>
        <w:t xml:space="preserve"> antimafia e non invece nel caso in cui la stessa abbia perduto qualcuno dei requisiti generali di partecipazione: vero che ciascuna vicenda ha la sua peculiarità, ma resta il fatto che la permanenza in gara o l’esclusione di un operatore economico dipende da situazioni che tutte possono essere ricondotte </w:t>
      </w:r>
      <w:proofErr w:type="spellStart"/>
      <w:r w:rsidRPr="00C4366E">
        <w:rPr>
          <w:rFonts w:ascii="Garamond" w:eastAsia="Times New Roman" w:hAnsi="Garamond" w:cs="Times New Roman"/>
          <w:i/>
          <w:iCs/>
          <w:color w:val="000000"/>
          <w:sz w:val="30"/>
          <w:szCs w:val="30"/>
          <w:lang w:eastAsia="it-IT"/>
        </w:rPr>
        <w:t>quoad</w:t>
      </w:r>
      <w:proofErr w:type="spellEnd"/>
      <w:r w:rsidRPr="00C4366E">
        <w:rPr>
          <w:rFonts w:ascii="Garamond" w:eastAsia="Times New Roman" w:hAnsi="Garamond" w:cs="Times New Roman"/>
          <w:i/>
          <w:iCs/>
          <w:color w:val="000000"/>
          <w:sz w:val="30"/>
          <w:szCs w:val="30"/>
          <w:lang w:eastAsia="it-IT"/>
        </w:rPr>
        <w:t xml:space="preserve"> </w:t>
      </w:r>
      <w:proofErr w:type="spellStart"/>
      <w:r w:rsidRPr="00C4366E">
        <w:rPr>
          <w:rFonts w:ascii="Garamond" w:eastAsia="Times New Roman" w:hAnsi="Garamond" w:cs="Times New Roman"/>
          <w:i/>
          <w:iCs/>
          <w:color w:val="000000"/>
          <w:sz w:val="30"/>
          <w:szCs w:val="30"/>
          <w:lang w:eastAsia="it-IT"/>
        </w:rPr>
        <w:t>effectum</w:t>
      </w:r>
      <w:proofErr w:type="spellEnd"/>
      <w:r w:rsidRPr="00C4366E">
        <w:rPr>
          <w:rFonts w:ascii="Garamond" w:eastAsia="Times New Roman" w:hAnsi="Garamond" w:cs="Times New Roman"/>
          <w:color w:val="000000"/>
          <w:sz w:val="30"/>
          <w:szCs w:val="30"/>
          <w:lang w:eastAsia="it-IT"/>
        </w:rPr>
        <w:t xml:space="preserve"> (e, dunque unitariamente assunte in sede di interpretazione del dato normativo) alla perdita dell’integrità dell’operatore economico per la sua condotta professionale (es. il mancato versamento di contributi previdenziali o il mancato pagamento dei tributi, ma anche il dubbio circa l’idoneità morale conseguente all’adozione di uno dei provvedimenti della normativa antimafia) o alla perdita dell’affidabilità circa la sua capacità di eseguire le prestazioni oggetto del contratto in affidamento (i pregressi inadempimenti, specialmente se intervenuti con la stessa stazione appaltante, ma anche lo stato di </w:t>
      </w:r>
      <w:r w:rsidRPr="00C4366E">
        <w:rPr>
          <w:rFonts w:ascii="Garamond" w:eastAsia="Times New Roman" w:hAnsi="Garamond" w:cs="Times New Roman"/>
          <w:color w:val="000000"/>
          <w:sz w:val="30"/>
          <w:szCs w:val="30"/>
          <w:lang w:eastAsia="it-IT"/>
        </w:rPr>
        <w:lastRenderedPageBreak/>
        <w:t>decozione comportante l’assoggettamento alla procedura concorsuale), e delle quali indubbiamente quelle che consentono la modifica soggettiva risultano per più versi maggiormente allarmanti per l’interesse pubblico delle altre per le quali si viole escluso;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b</w:t>
      </w:r>
      <w:proofErr w:type="spellStart"/>
      <w:r w:rsidRPr="00C4366E">
        <w:rPr>
          <w:rFonts w:ascii="Garamond" w:eastAsia="Times New Roman" w:hAnsi="Garamond" w:cs="Times New Roman"/>
          <w:color w:val="000000"/>
          <w:sz w:val="30"/>
          <w:szCs w:val="30"/>
          <w:lang w:eastAsia="it-IT"/>
        </w:rPr>
        <w:t>.</w:t>
      </w:r>
      <w:proofErr w:type="spellEnd"/>
      <w:r w:rsidRPr="00C4366E">
        <w:rPr>
          <w:rFonts w:ascii="Garamond" w:eastAsia="Times New Roman" w:hAnsi="Garamond" w:cs="Times New Roman"/>
          <w:color w:val="000000"/>
          <w:sz w:val="30"/>
          <w:szCs w:val="30"/>
          <w:lang w:eastAsia="it-IT"/>
        </w:rPr>
        <w:t>3.2.) sempre sul piano interno, perché è consentita la modifica soggettiva del raggruppamento anche in caso di perdita dei requisiti di partecipazione </w:t>
      </w:r>
      <w:r w:rsidRPr="00C4366E">
        <w:rPr>
          <w:rFonts w:ascii="Garamond" w:eastAsia="Times New Roman" w:hAnsi="Garamond" w:cs="Times New Roman"/>
          <w:i/>
          <w:iCs/>
          <w:color w:val="000000"/>
          <w:sz w:val="30"/>
          <w:szCs w:val="30"/>
          <w:lang w:eastAsia="it-IT"/>
        </w:rPr>
        <w:t>ex</w:t>
      </w:r>
      <w:r w:rsidRPr="00C4366E">
        <w:rPr>
          <w:rFonts w:ascii="Garamond" w:eastAsia="Times New Roman" w:hAnsi="Garamond" w:cs="Times New Roman"/>
          <w:color w:val="000000"/>
          <w:sz w:val="30"/>
          <w:szCs w:val="30"/>
          <w:lang w:eastAsia="it-IT"/>
        </w:rPr>
        <w:t> art. 80 in fase di esecuzione, quand’ormai la stazione appaltante ha ben poche possibilità di vagliare l’affidabilità del raggruppamento per come riorganizzatosi al venir meno di un suo componente, con ogni possibile incertezza sulla residuata capacità di esecuzione, e non in fase di gara quando è ancora in tempo ad effettuare ogni verifica sui rimanenti componenti;</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b</w:t>
      </w:r>
      <w:proofErr w:type="spellStart"/>
      <w:r w:rsidRPr="00C4366E">
        <w:rPr>
          <w:rFonts w:ascii="Garamond" w:eastAsia="Times New Roman" w:hAnsi="Garamond" w:cs="Times New Roman"/>
          <w:color w:val="000000"/>
          <w:sz w:val="30"/>
          <w:szCs w:val="30"/>
          <w:lang w:eastAsia="it-IT"/>
        </w:rPr>
        <w:t>.</w:t>
      </w:r>
      <w:proofErr w:type="spellEnd"/>
      <w:r w:rsidRPr="00C4366E">
        <w:rPr>
          <w:rFonts w:ascii="Garamond" w:eastAsia="Times New Roman" w:hAnsi="Garamond" w:cs="Times New Roman"/>
          <w:color w:val="000000"/>
          <w:sz w:val="30"/>
          <w:szCs w:val="30"/>
          <w:lang w:eastAsia="it-IT"/>
        </w:rPr>
        <w:t xml:space="preserve">3.3) sul piano esterno, perché se è vero che la deroga al principio di </w:t>
      </w:r>
      <w:proofErr w:type="spellStart"/>
      <w:r w:rsidRPr="00C4366E">
        <w:rPr>
          <w:rFonts w:ascii="Garamond" w:eastAsia="Times New Roman" w:hAnsi="Garamond" w:cs="Times New Roman"/>
          <w:color w:val="000000"/>
          <w:sz w:val="30"/>
          <w:szCs w:val="30"/>
          <w:lang w:eastAsia="it-IT"/>
        </w:rPr>
        <w:t>immodificabilità</w:t>
      </w:r>
      <w:proofErr w:type="spellEnd"/>
      <w:r w:rsidRPr="00C4366E">
        <w:rPr>
          <w:rFonts w:ascii="Garamond" w:eastAsia="Times New Roman" w:hAnsi="Garamond" w:cs="Times New Roman"/>
          <w:color w:val="000000"/>
          <w:sz w:val="30"/>
          <w:szCs w:val="30"/>
          <w:lang w:eastAsia="it-IT"/>
        </w:rPr>
        <w:t xml:space="preserve"> dei raggruppamenti per sopravvenuto assoggettamento a procedura concorsuale di un soggetto aggregato o per adozione nei suoi confronti di una misura prevista dalla normativa antimafia evita che le vicende dell’uno possano ripercuotersi su tutti gli altri, in situazioni in cui non sia incisa la capacità complessiva dello stesso raggruppamento che, riorganizzatosi al suo interno, si ancora in grado di garantire l’esecuzione dell’appalto (da ultimo, così è spiegata la deroga proprio dall’Adunanza plenaria n. 10 del 2021, al par. 25) – a sua volta eliminando quelle giustificate preoccupazioni (di non poter aggiudicarsi e concludere l’esecuzione dell’appalto per </w:t>
      </w:r>
      <w:r w:rsidRPr="00C4366E">
        <w:rPr>
          <w:rFonts w:ascii="Garamond" w:eastAsia="Times New Roman" w:hAnsi="Garamond" w:cs="Times New Roman"/>
          <w:i/>
          <w:iCs/>
          <w:color w:val="000000"/>
          <w:sz w:val="30"/>
          <w:szCs w:val="30"/>
          <w:lang w:eastAsia="it-IT"/>
        </w:rPr>
        <w:t>colpa</w:t>
      </w:r>
      <w:r w:rsidRPr="00C4366E">
        <w:rPr>
          <w:rFonts w:ascii="Garamond" w:eastAsia="Times New Roman" w:hAnsi="Garamond" w:cs="Times New Roman"/>
          <w:color w:val="000000"/>
          <w:sz w:val="30"/>
          <w:szCs w:val="30"/>
          <w:lang w:eastAsia="it-IT"/>
        </w:rPr>
        <w:t> di uno degli associati) dell’imprese con la finalità di favorire le aggregazioni di imprese, e, in ultima analisi, ampliare il campo degli operatori economici che possono aspirare all’aggiudicazione di pubbliche commesse – è fuor di dubbio, seguendo questa via di ragionamento, queste stesse ragioni possano condurre a dire giustificata la deroga all’</w:t>
      </w:r>
      <w:proofErr w:type="spellStart"/>
      <w:r w:rsidRPr="00C4366E">
        <w:rPr>
          <w:rFonts w:ascii="Garamond" w:eastAsia="Times New Roman" w:hAnsi="Garamond" w:cs="Times New Roman"/>
          <w:color w:val="000000"/>
          <w:sz w:val="30"/>
          <w:szCs w:val="30"/>
          <w:lang w:eastAsia="it-IT"/>
        </w:rPr>
        <w:t>immodificabilità</w:t>
      </w:r>
      <w:proofErr w:type="spellEnd"/>
      <w:r w:rsidRPr="00C4366E">
        <w:rPr>
          <w:rFonts w:ascii="Garamond" w:eastAsia="Times New Roman" w:hAnsi="Garamond" w:cs="Times New Roman"/>
          <w:color w:val="000000"/>
          <w:sz w:val="30"/>
          <w:szCs w:val="30"/>
          <w:lang w:eastAsia="it-IT"/>
        </w:rPr>
        <w:t xml:space="preserve"> del raggruppamento per la perdita dei requisiti generali di </w:t>
      </w:r>
      <w:r w:rsidRPr="00C4366E">
        <w:rPr>
          <w:rFonts w:ascii="Garamond" w:eastAsia="Times New Roman" w:hAnsi="Garamond" w:cs="Times New Roman"/>
          <w:color w:val="000000"/>
          <w:sz w:val="30"/>
          <w:szCs w:val="30"/>
          <w:lang w:eastAsia="it-IT"/>
        </w:rPr>
        <w:lastRenderedPageBreak/>
        <w:t>partecipazione e, specularmente, a dire non giustificato un diverso trattamento di detta vicenda;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b</w:t>
      </w:r>
      <w:proofErr w:type="spellStart"/>
      <w:r w:rsidRPr="00C4366E">
        <w:rPr>
          <w:rFonts w:ascii="Garamond" w:eastAsia="Times New Roman" w:hAnsi="Garamond" w:cs="Times New Roman"/>
          <w:color w:val="000000"/>
          <w:sz w:val="30"/>
          <w:szCs w:val="30"/>
          <w:lang w:eastAsia="it-IT"/>
        </w:rPr>
        <w:t>.</w:t>
      </w:r>
      <w:proofErr w:type="spellEnd"/>
      <w:r w:rsidRPr="00C4366E">
        <w:rPr>
          <w:rFonts w:ascii="Garamond" w:eastAsia="Times New Roman" w:hAnsi="Garamond" w:cs="Times New Roman"/>
          <w:color w:val="000000"/>
          <w:sz w:val="30"/>
          <w:szCs w:val="30"/>
          <w:lang w:eastAsia="it-IT"/>
        </w:rPr>
        <w:t xml:space="preserve">3.4.) quanto sopra è tanto più vero ove si consideri che nessuna delle ragioni che sorreggono il principio di </w:t>
      </w:r>
      <w:proofErr w:type="spellStart"/>
      <w:r w:rsidRPr="00C4366E">
        <w:rPr>
          <w:rFonts w:ascii="Garamond" w:eastAsia="Times New Roman" w:hAnsi="Garamond" w:cs="Times New Roman"/>
          <w:color w:val="000000"/>
          <w:sz w:val="30"/>
          <w:szCs w:val="30"/>
          <w:lang w:eastAsia="it-IT"/>
        </w:rPr>
        <w:t>immodificabilità</w:t>
      </w:r>
      <w:proofErr w:type="spellEnd"/>
      <w:r w:rsidRPr="00C4366E">
        <w:rPr>
          <w:rFonts w:ascii="Garamond" w:eastAsia="Times New Roman" w:hAnsi="Garamond" w:cs="Times New Roman"/>
          <w:color w:val="000000"/>
          <w:sz w:val="30"/>
          <w:szCs w:val="30"/>
          <w:lang w:eastAsia="it-IT"/>
        </w:rPr>
        <w:t xml:space="preserve"> della composizione del raggruppamento varrebbero a spiegare in maniera convincente il divieto di modifica per la perdita dei requisiti di partecipazione </w:t>
      </w:r>
      <w:r w:rsidRPr="00C4366E">
        <w:rPr>
          <w:rFonts w:ascii="Garamond" w:eastAsia="Times New Roman" w:hAnsi="Garamond" w:cs="Times New Roman"/>
          <w:i/>
          <w:iCs/>
          <w:color w:val="000000"/>
          <w:sz w:val="30"/>
          <w:szCs w:val="30"/>
          <w:lang w:eastAsia="it-IT"/>
        </w:rPr>
        <w:t>ex</w:t>
      </w:r>
      <w:r w:rsidRPr="00C4366E">
        <w:rPr>
          <w:rFonts w:ascii="Garamond" w:eastAsia="Times New Roman" w:hAnsi="Garamond" w:cs="Times New Roman"/>
          <w:color w:val="000000"/>
          <w:sz w:val="30"/>
          <w:szCs w:val="30"/>
          <w:lang w:eastAsia="it-IT"/>
        </w:rPr>
        <w:t> art. 80 in sede di gara: non la necessità di evitare che la stazione appaltante si trovi ad aggiudicare la gara e a stipulare il contratto con un soggetto del quale non abbia potuto verificare i requisiti, generali o speciali di partecipazione in quanto, una volta escluso dall’Adunanza plenaria nella sentenza n. 10 del 2021 la c.d. sostituzione per addizione, tale evenienza non potrà giammai verificarsi quale che sia la vicenda sopravvenuta per la quale sia venuto meno uno dei componenti del raggruppamento, né la tutela della </w:t>
      </w:r>
      <w:r w:rsidRPr="00C4366E">
        <w:rPr>
          <w:rFonts w:ascii="Garamond" w:eastAsia="Times New Roman" w:hAnsi="Garamond" w:cs="Times New Roman"/>
          <w:i/>
          <w:iCs/>
          <w:color w:val="000000"/>
          <w:sz w:val="30"/>
          <w:szCs w:val="30"/>
          <w:lang w:eastAsia="it-IT"/>
        </w:rPr>
        <w:t>par condicio</w:t>
      </w:r>
      <w:r w:rsidRPr="00C4366E">
        <w:rPr>
          <w:rFonts w:ascii="Garamond" w:eastAsia="Times New Roman" w:hAnsi="Garamond" w:cs="Times New Roman"/>
          <w:color w:val="000000"/>
          <w:sz w:val="30"/>
          <w:szCs w:val="30"/>
          <w:lang w:eastAsia="it-IT"/>
        </w:rPr>
        <w:t> dei partecipanti alla procedura di gara, che è violato solo se all’uno è consentito quel che all’altro è negato, ma qui tutti sono trattati allo stesso modo perché possono alle stesse condizioni pervenire all’aggiudicazione della procedura di gara, ossia a condizione che sia garantito l’integrale e continuativo possesso dei requisiti di partecipazione a partire dalla presentazione della domanda e fino all’esecuzione del contratto, situazione che, a ben vedere, ricorre sempre, quale che sia la ragione per la quale uno dei componenti del raggruppamento viene meno se gli altri sono in grado di garantire con i loro requisiti la corretta esecuzione del contratto;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c) infine, valga la seguente riflessione: per quanto detto in precedenza, se vietare la modifica soggettiva al raggruppamento del quale uno dei componenti sia incorso in perdita dei requisiti di partecipazione in fase di gara, ma che sia comunque capace di eseguire il contratto in affidamento, non apporta alcun vantaggio alla stazione appaltante per la quale, rispettata quest’ultima condizione, quale che sia il numero dei componenti il raggruppamento, resta comprovata l’affidabilità dell’operatore, innegabile, invece, è il vantaggio per le imprese che, da un lato, </w:t>
      </w:r>
      <w:r w:rsidRPr="00C4366E">
        <w:rPr>
          <w:rFonts w:ascii="Garamond" w:eastAsia="Times New Roman" w:hAnsi="Garamond" w:cs="Times New Roman"/>
          <w:color w:val="000000"/>
          <w:sz w:val="30"/>
          <w:szCs w:val="30"/>
          <w:lang w:eastAsia="it-IT"/>
        </w:rPr>
        <w:lastRenderedPageBreak/>
        <w:t>hanno la necessità di raggrupparsi per poter competere in taluni segmenti di mercato, e dall’altro, subirebbero ingiustamente effetti negativi di altrui condotte che non hanno in alcun modo potuto evitare.</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V. </w:t>
      </w:r>
      <w:r w:rsidRPr="00C4366E">
        <w:rPr>
          <w:rFonts w:ascii="Garamond" w:eastAsia="Times New Roman" w:hAnsi="Garamond" w:cs="Times New Roman"/>
          <w:i/>
          <w:iCs/>
          <w:color w:val="000000"/>
          <w:sz w:val="30"/>
          <w:szCs w:val="30"/>
          <w:lang w:eastAsia="it-IT"/>
        </w:rPr>
        <w:t>La questione rimessa all’Adunanza plenaria.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5.8. In conclusione, è rimessa all’Adunanza plenaria la seguente questione: se sia possibile interpretare l’art. 48, commi 17, 18 e 19 – </w:t>
      </w:r>
      <w:proofErr w:type="spellStart"/>
      <w:r w:rsidRPr="00C4366E">
        <w:rPr>
          <w:rFonts w:ascii="Garamond" w:eastAsia="Times New Roman" w:hAnsi="Garamond" w:cs="Times New Roman"/>
          <w:i/>
          <w:iCs/>
          <w:color w:val="000000"/>
          <w:sz w:val="30"/>
          <w:szCs w:val="30"/>
          <w:lang w:eastAsia="it-IT"/>
        </w:rPr>
        <w:t>ter</w:t>
      </w:r>
      <w:proofErr w:type="spellEnd"/>
      <w:r w:rsidRPr="00C4366E">
        <w:rPr>
          <w:rFonts w:ascii="Garamond" w:eastAsia="Times New Roman" w:hAnsi="Garamond" w:cs="Times New Roman"/>
          <w:color w:val="000000"/>
          <w:sz w:val="30"/>
          <w:szCs w:val="30"/>
          <w:lang w:eastAsia="it-IT"/>
        </w:rPr>
        <w:t> d.lgs. 18 aprile 2016, n. 50 nel senso che la modifica soggettiva del raggruppamento temporaneo di imprese in caso di perdita dei requisiti di partecipazione ex art. 80 da parte del mandatario o di una delle mandanti è consentita non solo in fase di esecuzione, ma anche in fase di gara.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5.9. In caso di risposta positiva alla prima domanda, si richiede, poi, di precisare la modalità procedimentale con la quale detta modifica possa avvenire, se, cioè, la stazione appaltante sia tenuta, anche in questo caso, ed anche qualora abbia già negato la autorizzazione al recesso che sia stata richiesta dal raggruppamento per restare in gara avendo ritenuto intervenuta la perdita di un requisito professionale, ad interpellare il raggruppamento, assegnando congruo termine per la riorganizzazione del proprio assetto interno tale da poter riprendere la propria partecipazione alla gara.</w:t>
      </w:r>
    </w:p>
    <w:p w:rsidR="00C4366E" w:rsidRPr="00C4366E" w:rsidRDefault="00C4366E" w:rsidP="00C4366E">
      <w:pPr>
        <w:spacing w:before="0" w:beforeAutospacing="0" w:line="540" w:lineRule="atLeast"/>
        <w:jc w:val="center"/>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P.Q.M.</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Il Consiglio di Stato in sede giurisdizionale (Sezione Quinta), non definitivamente pronunciando sul ricorso in epigrafe, ne dispone il deferimento all'adunanza plenaria del Consiglio di Stato.</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Manda alla segreteria della sezione per gli adempimenti di competenza, e, in particolare, per la trasmissione del fascicolo di causa e della presente ordinanza al segretario incaricato di assistere all'adunanza plenaria.</w:t>
      </w:r>
    </w:p>
    <w:p w:rsidR="00C4366E" w:rsidRPr="00C4366E" w:rsidRDefault="00C4366E" w:rsidP="00C4366E">
      <w:pPr>
        <w:spacing w:before="0" w:beforeAutospacing="0" w:line="520" w:lineRule="atLeast"/>
        <w:jc w:val="both"/>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Così deciso in Roma nella camera di consiglio del giorno 23 settembre 2021 con l'intervento dei magistrati:</w:t>
      </w:r>
    </w:p>
    <w:p w:rsidR="00C4366E" w:rsidRPr="00C4366E" w:rsidRDefault="00C4366E" w:rsidP="00C4366E">
      <w:pPr>
        <w:spacing w:before="0" w:beforeAutospacing="0" w:line="520" w:lineRule="atLeast"/>
        <w:ind w:firstLine="567"/>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lastRenderedPageBreak/>
        <w:t>Luciano Barra Caracciolo, Presidente</w:t>
      </w:r>
    </w:p>
    <w:p w:rsidR="00C4366E" w:rsidRPr="00C4366E" w:rsidRDefault="00C4366E" w:rsidP="00C4366E">
      <w:pPr>
        <w:spacing w:before="0" w:beforeAutospacing="0" w:line="520" w:lineRule="atLeast"/>
        <w:ind w:firstLine="567"/>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Federico Di Matteo, Consigliere, Estensore</w:t>
      </w:r>
    </w:p>
    <w:p w:rsidR="00C4366E" w:rsidRPr="00C4366E" w:rsidRDefault="00C4366E" w:rsidP="00C4366E">
      <w:pPr>
        <w:spacing w:before="0" w:beforeAutospacing="0" w:line="520" w:lineRule="atLeast"/>
        <w:ind w:firstLine="567"/>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Giovanni Grasso, Consigliere</w:t>
      </w:r>
    </w:p>
    <w:p w:rsidR="00C4366E" w:rsidRPr="00C4366E" w:rsidRDefault="00C4366E" w:rsidP="00C4366E">
      <w:pPr>
        <w:spacing w:before="0" w:beforeAutospacing="0" w:line="520" w:lineRule="atLeast"/>
        <w:ind w:firstLine="567"/>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Alberto Urso, Consigliere</w:t>
      </w:r>
    </w:p>
    <w:p w:rsidR="00C4366E" w:rsidRPr="00C4366E" w:rsidRDefault="00C4366E" w:rsidP="00C4366E">
      <w:pPr>
        <w:spacing w:before="0" w:beforeAutospacing="0" w:line="520" w:lineRule="atLeast"/>
        <w:ind w:firstLine="567"/>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 xml:space="preserve">Anna </w:t>
      </w:r>
      <w:proofErr w:type="spellStart"/>
      <w:r w:rsidRPr="00C4366E">
        <w:rPr>
          <w:rFonts w:ascii="Garamond" w:eastAsia="Times New Roman" w:hAnsi="Garamond" w:cs="Times New Roman"/>
          <w:color w:val="000000"/>
          <w:sz w:val="30"/>
          <w:szCs w:val="30"/>
          <w:lang w:eastAsia="it-IT"/>
        </w:rPr>
        <w:t>Bottiglieri</w:t>
      </w:r>
      <w:proofErr w:type="spellEnd"/>
      <w:r w:rsidRPr="00C4366E">
        <w:rPr>
          <w:rFonts w:ascii="Garamond" w:eastAsia="Times New Roman" w:hAnsi="Garamond" w:cs="Times New Roman"/>
          <w:color w:val="000000"/>
          <w:sz w:val="30"/>
          <w:szCs w:val="30"/>
          <w:lang w:eastAsia="it-IT"/>
        </w:rPr>
        <w:t>, Consigliere</w:t>
      </w:r>
    </w:p>
    <w:tbl>
      <w:tblPr>
        <w:tblW w:w="5000" w:type="pct"/>
        <w:tblCellMar>
          <w:top w:w="15" w:type="dxa"/>
          <w:left w:w="15" w:type="dxa"/>
          <w:bottom w:w="15" w:type="dxa"/>
          <w:right w:w="15" w:type="dxa"/>
        </w:tblCellMar>
        <w:tblLook w:val="04A0"/>
      </w:tblPr>
      <w:tblGrid>
        <w:gridCol w:w="4096"/>
        <w:gridCol w:w="63"/>
        <w:gridCol w:w="5509"/>
      </w:tblGrid>
      <w:tr w:rsidR="00C4366E" w:rsidRPr="00C4366E" w:rsidTr="00C4366E">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r w:rsidRPr="00C4366E">
              <w:rPr>
                <w:rFonts w:ascii="Times New Roman" w:eastAsia="Times New Roman" w:hAnsi="Times New Roman" w:cs="Times New Roman"/>
                <w:b/>
                <w:bCs/>
                <w:sz w:val="28"/>
                <w:szCs w:val="28"/>
                <w:lang w:eastAsia="it-IT"/>
              </w:rPr>
              <w:t> </w:t>
            </w: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p>
        </w:tc>
      </w:tr>
      <w:tr w:rsidR="00C4366E" w:rsidRPr="00C4366E" w:rsidTr="00C4366E">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r w:rsidRPr="00C4366E">
              <w:rPr>
                <w:rFonts w:ascii="Times New Roman" w:eastAsia="Times New Roman" w:hAnsi="Times New Roman" w:cs="Times New Roman"/>
                <w:b/>
                <w:bCs/>
                <w:sz w:val="28"/>
                <w:szCs w:val="28"/>
                <w:lang w:eastAsia="it-IT"/>
              </w:rPr>
              <w:t> </w:t>
            </w: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p>
        </w:tc>
      </w:tr>
      <w:tr w:rsidR="00C4366E" w:rsidRPr="00C4366E" w:rsidTr="00C4366E">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r w:rsidRPr="00C4366E">
              <w:rPr>
                <w:rFonts w:ascii="Times New Roman" w:eastAsia="Times New Roman" w:hAnsi="Times New Roman" w:cs="Times New Roman"/>
                <w:b/>
                <w:bCs/>
                <w:sz w:val="28"/>
                <w:szCs w:val="28"/>
                <w:lang w:eastAsia="it-IT"/>
              </w:rPr>
              <w:t>L'ESTENSORE</w:t>
            </w: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r w:rsidRPr="00C4366E">
              <w:rPr>
                <w:rFonts w:ascii="Times New Roman" w:eastAsia="Times New Roman" w:hAnsi="Times New Roman" w:cs="Times New Roman"/>
                <w:b/>
                <w:bCs/>
                <w:sz w:val="28"/>
                <w:szCs w:val="28"/>
                <w:lang w:eastAsia="it-IT"/>
              </w:rPr>
              <w:t>IL PRESIDENTE</w:t>
            </w:r>
          </w:p>
        </w:tc>
      </w:tr>
      <w:tr w:rsidR="00C4366E" w:rsidRPr="00C4366E" w:rsidTr="00C4366E">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r w:rsidRPr="00C4366E">
              <w:rPr>
                <w:rFonts w:ascii="Times New Roman" w:eastAsia="Times New Roman" w:hAnsi="Times New Roman" w:cs="Times New Roman"/>
                <w:b/>
                <w:bCs/>
                <w:sz w:val="28"/>
                <w:szCs w:val="28"/>
                <w:lang w:eastAsia="it-IT"/>
              </w:rPr>
              <w:t>Federico Di Matteo</w:t>
            </w: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r w:rsidRPr="00C4366E">
              <w:rPr>
                <w:rFonts w:ascii="Times New Roman" w:eastAsia="Times New Roman" w:hAnsi="Times New Roman" w:cs="Times New Roman"/>
                <w:b/>
                <w:bCs/>
                <w:sz w:val="28"/>
                <w:szCs w:val="28"/>
                <w:lang w:eastAsia="it-IT"/>
              </w:rPr>
              <w:t>Luciano Barra Caracciolo</w:t>
            </w:r>
          </w:p>
        </w:tc>
      </w:tr>
      <w:tr w:rsidR="00C4366E" w:rsidRPr="00C4366E" w:rsidTr="00C4366E">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r w:rsidRPr="00C4366E">
              <w:rPr>
                <w:rFonts w:ascii="Times New Roman" w:eastAsia="Times New Roman" w:hAnsi="Times New Roman" w:cs="Times New Roman"/>
                <w:b/>
                <w:bCs/>
                <w:sz w:val="28"/>
                <w:szCs w:val="28"/>
                <w:lang w:eastAsia="it-IT"/>
              </w:rPr>
              <w:t> </w:t>
            </w: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p>
        </w:tc>
      </w:tr>
      <w:tr w:rsidR="00C4366E" w:rsidRPr="00C4366E" w:rsidTr="00C4366E">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r w:rsidRPr="00C4366E">
              <w:rPr>
                <w:rFonts w:ascii="Times New Roman" w:eastAsia="Times New Roman" w:hAnsi="Times New Roman" w:cs="Times New Roman"/>
                <w:b/>
                <w:bCs/>
                <w:sz w:val="28"/>
                <w:szCs w:val="28"/>
                <w:lang w:eastAsia="it-IT"/>
              </w:rPr>
              <w:t> </w:t>
            </w: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p>
        </w:tc>
      </w:tr>
      <w:tr w:rsidR="00C4366E" w:rsidRPr="00C4366E" w:rsidTr="00C4366E">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r w:rsidRPr="00C4366E">
              <w:rPr>
                <w:rFonts w:ascii="Times New Roman" w:eastAsia="Times New Roman" w:hAnsi="Times New Roman" w:cs="Times New Roman"/>
                <w:b/>
                <w:bCs/>
                <w:sz w:val="28"/>
                <w:szCs w:val="28"/>
                <w:lang w:eastAsia="it-IT"/>
              </w:rPr>
              <w:t> </w:t>
            </w: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p>
        </w:tc>
        <w:tc>
          <w:tcPr>
            <w:tcW w:w="0" w:type="auto"/>
            <w:vAlign w:val="center"/>
            <w:hideMark/>
          </w:tcPr>
          <w:p w:rsidR="00C4366E" w:rsidRPr="00C4366E" w:rsidRDefault="00C4366E" w:rsidP="00C4366E">
            <w:pPr>
              <w:spacing w:before="0" w:beforeAutospacing="0"/>
              <w:jc w:val="center"/>
              <w:rPr>
                <w:rFonts w:ascii="Times New Roman" w:eastAsia="Times New Roman" w:hAnsi="Times New Roman" w:cs="Times New Roman"/>
                <w:b/>
                <w:bCs/>
                <w:sz w:val="28"/>
                <w:szCs w:val="28"/>
                <w:lang w:eastAsia="it-IT"/>
              </w:rPr>
            </w:pPr>
          </w:p>
        </w:tc>
      </w:tr>
    </w:tbl>
    <w:p w:rsidR="00C4366E" w:rsidRPr="00C4366E" w:rsidRDefault="00C4366E" w:rsidP="00C4366E">
      <w:pPr>
        <w:spacing w:before="0" w:beforeAutospacing="0" w:line="540" w:lineRule="atLeast"/>
        <w:jc w:val="center"/>
        <w:rPr>
          <w:rFonts w:ascii="Garamond" w:eastAsia="Times New Roman" w:hAnsi="Garamond" w:cs="Times New Roman"/>
          <w:color w:val="000000"/>
          <w:sz w:val="30"/>
          <w:szCs w:val="30"/>
          <w:lang w:eastAsia="it-IT"/>
        </w:rPr>
      </w:pPr>
      <w:r w:rsidRPr="00C4366E">
        <w:rPr>
          <w:rFonts w:ascii="Garamond" w:eastAsia="Times New Roman" w:hAnsi="Garamond" w:cs="Times New Roman"/>
          <w:color w:val="000000"/>
          <w:sz w:val="30"/>
          <w:szCs w:val="30"/>
          <w:lang w:eastAsia="it-IT"/>
        </w:rPr>
        <w:t>IL SEGRETARIO</w:t>
      </w:r>
    </w:p>
    <w:p w:rsidR="009C2938" w:rsidRDefault="009C2938"/>
    <w:sectPr w:rsidR="009C2938" w:rsidSect="009C29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283"/>
  <w:characterSpacingControl w:val="doNotCompress"/>
  <w:compat/>
  <w:rsids>
    <w:rsidRoot w:val="00C4366E"/>
    <w:rsid w:val="00877195"/>
    <w:rsid w:val="009C2938"/>
    <w:rsid w:val="00B6373D"/>
    <w:rsid w:val="00C4366E"/>
    <w:rsid w:val="00D851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9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C4366E"/>
    <w:pPr>
      <w:spacing w:after="100" w:afterAutospacing="1"/>
    </w:pPr>
    <w:rPr>
      <w:rFonts w:ascii="Times New Roman" w:eastAsia="Times New Roman" w:hAnsi="Times New Roman" w:cs="Times New Roman"/>
      <w:sz w:val="24"/>
      <w:szCs w:val="24"/>
      <w:lang w:eastAsia="it-IT"/>
    </w:rPr>
  </w:style>
  <w:style w:type="paragraph" w:customStyle="1" w:styleId="repubblica">
    <w:name w:val="repubblica"/>
    <w:basedOn w:val="Normale"/>
    <w:rsid w:val="00C4366E"/>
    <w:pPr>
      <w:spacing w:after="100" w:afterAutospacing="1"/>
    </w:pPr>
    <w:rPr>
      <w:rFonts w:ascii="Times New Roman" w:eastAsia="Times New Roman" w:hAnsi="Times New Roman" w:cs="Times New Roman"/>
      <w:sz w:val="24"/>
      <w:szCs w:val="24"/>
      <w:lang w:eastAsia="it-IT"/>
    </w:rPr>
  </w:style>
  <w:style w:type="paragraph" w:customStyle="1" w:styleId="sezione">
    <w:name w:val="sezione"/>
    <w:basedOn w:val="Normale"/>
    <w:rsid w:val="00C4366E"/>
    <w:pPr>
      <w:spacing w:after="100" w:afterAutospacing="1"/>
    </w:pPr>
    <w:rPr>
      <w:rFonts w:ascii="Times New Roman" w:eastAsia="Times New Roman" w:hAnsi="Times New Roman" w:cs="Times New Roman"/>
      <w:sz w:val="24"/>
      <w:szCs w:val="24"/>
      <w:lang w:eastAsia="it-IT"/>
    </w:rPr>
  </w:style>
  <w:style w:type="paragraph" w:customStyle="1" w:styleId="tabula">
    <w:name w:val="tabula"/>
    <w:basedOn w:val="Normale"/>
    <w:rsid w:val="00C4366E"/>
    <w:pPr>
      <w:spacing w:after="100" w:afterAutospacing="1"/>
    </w:pPr>
    <w:rPr>
      <w:rFonts w:ascii="Times New Roman" w:eastAsia="Times New Roman" w:hAnsi="Times New Roman" w:cs="Times New Roman"/>
      <w:sz w:val="24"/>
      <w:szCs w:val="24"/>
      <w:lang w:eastAsia="it-IT"/>
    </w:rPr>
  </w:style>
  <w:style w:type="paragraph" w:customStyle="1" w:styleId="popolo">
    <w:name w:val="popolo"/>
    <w:basedOn w:val="Normale"/>
    <w:rsid w:val="00C4366E"/>
    <w:pPr>
      <w:spacing w:after="100" w:afterAutospacing="1"/>
    </w:pPr>
    <w:rPr>
      <w:rFonts w:ascii="Times New Roman" w:eastAsia="Times New Roman" w:hAnsi="Times New Roman" w:cs="Times New Roman"/>
      <w:sz w:val="24"/>
      <w:szCs w:val="24"/>
      <w:lang w:eastAsia="it-IT"/>
    </w:rPr>
  </w:style>
  <w:style w:type="paragraph" w:customStyle="1" w:styleId="contro">
    <w:name w:val="contro"/>
    <w:basedOn w:val="Normale"/>
    <w:rsid w:val="00C4366E"/>
    <w:pPr>
      <w:spacing w:after="100" w:afterAutospacing="1"/>
    </w:pPr>
    <w:rPr>
      <w:rFonts w:ascii="Times New Roman" w:eastAsia="Times New Roman" w:hAnsi="Times New Roman" w:cs="Times New Roman"/>
      <w:sz w:val="24"/>
      <w:szCs w:val="24"/>
      <w:lang w:eastAsia="it-IT"/>
    </w:rPr>
  </w:style>
  <w:style w:type="paragraph" w:customStyle="1" w:styleId="fatto">
    <w:name w:val="fatto"/>
    <w:basedOn w:val="Normale"/>
    <w:rsid w:val="00C4366E"/>
    <w:pPr>
      <w:spacing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4366E"/>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3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03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5484</Words>
  <Characters>31259</Characters>
  <Application>Microsoft Office Word</Application>
  <DocSecurity>0</DocSecurity>
  <Lines>260</Lines>
  <Paragraphs>73</Paragraphs>
  <ScaleCrop>false</ScaleCrop>
  <Company/>
  <LinksUpToDate>false</LinksUpToDate>
  <CharactersWithSpaces>36670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2021-10-20T08:19:00Z</dcterms:created>
  <dcterms:modified xsi:type="dcterms:W3CDTF">2021-10-20T08:19:00Z</dcterms:modified>
</cp:coreProperties>
</file>